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9" w:rsidRDefault="00EE651A">
      <w:pPr>
        <w:pStyle w:val="ConsPlusTitle0"/>
        <w:jc w:val="center"/>
        <w:outlineLvl w:val="0"/>
      </w:pPr>
      <w:r>
        <w:t>КАБИНЕТ МИНИСТРОВ РЕСПУБЛИКИ ТАТАРСТАН</w:t>
      </w:r>
    </w:p>
    <w:p w:rsidR="000B0349" w:rsidRDefault="000B0349">
      <w:pPr>
        <w:pStyle w:val="ConsPlusTitle0"/>
        <w:jc w:val="both"/>
      </w:pPr>
    </w:p>
    <w:p w:rsidR="000B0349" w:rsidRDefault="00EE651A">
      <w:pPr>
        <w:pStyle w:val="ConsPlusTitle0"/>
        <w:jc w:val="center"/>
      </w:pPr>
      <w:r>
        <w:t>ПОСТАНОВЛЕНИЕ</w:t>
      </w:r>
    </w:p>
    <w:p w:rsidR="000B0349" w:rsidRDefault="00EE651A">
      <w:pPr>
        <w:pStyle w:val="ConsPlusTitle0"/>
        <w:jc w:val="center"/>
      </w:pPr>
      <w:r>
        <w:t>от 18 сентября 2018 г. N 789</w:t>
      </w:r>
    </w:p>
    <w:p w:rsidR="000B0349" w:rsidRDefault="000B0349">
      <w:pPr>
        <w:pStyle w:val="ConsPlusTitle0"/>
        <w:jc w:val="both"/>
      </w:pPr>
    </w:p>
    <w:p w:rsidR="000B0349" w:rsidRDefault="00EE651A">
      <w:pPr>
        <w:pStyle w:val="ConsPlusTitle0"/>
        <w:jc w:val="center"/>
      </w:pPr>
      <w:r>
        <w:t>ОБ УТВЕРЖДЕНИИ ГОСУДАРСТВЕННОЙ ПРОГРАММЫ</w:t>
      </w:r>
    </w:p>
    <w:p w:rsidR="000B0349" w:rsidRDefault="00EE651A">
      <w:pPr>
        <w:pStyle w:val="ConsPlusTitle0"/>
        <w:jc w:val="center"/>
      </w:pPr>
      <w:r>
        <w:t>РЕСПУБЛИКИ ТАТАРСТАН "СТРОИТЕЛЬСТВО АВТОМОБИЛЬНЫХ</w:t>
      </w:r>
    </w:p>
    <w:p w:rsidR="000B0349" w:rsidRDefault="00EE651A">
      <w:pPr>
        <w:pStyle w:val="ConsPlusTitle0"/>
        <w:jc w:val="center"/>
      </w:pPr>
      <w:r>
        <w:t>ГАЗОНАПОЛНИТЕЛЬНЫХ КОМПРЕССОРНЫХ СТАНЦИЙ НА ТЕРРИТОРИИ</w:t>
      </w:r>
    </w:p>
    <w:p w:rsidR="000B0349" w:rsidRDefault="00EE651A">
      <w:pPr>
        <w:pStyle w:val="ConsPlusTitle0"/>
        <w:jc w:val="center"/>
      </w:pPr>
      <w:r>
        <w:t>РЕСП</w:t>
      </w:r>
      <w:r>
        <w:t>УБЛИКИ ТАТАРСТАН НА 2019 - 2024 ГОДЫ"</w:t>
      </w:r>
    </w:p>
    <w:p w:rsidR="000B0349" w:rsidRDefault="000B034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КМ РТ от 08.10.2020 </w:t>
            </w:r>
            <w:hyperlink r:id="rId6" w:tooltip="Постановление КМ РТ от 08.10.2020 N 914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22.04.2022 </w:t>
            </w:r>
            <w:hyperlink r:id="rId7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В целях реализации Соглашения между Правительством Республики Татарстан, ОАО "Газпром" и ООО "Газпром газомот</w:t>
      </w:r>
      <w:r>
        <w:t>орное топливо" о расширении использования природного газа в качестве газомоторного топлива от 27 июня 2013 года N 12 Кабинет Министров Республики Татарстан постановляет: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 xml:space="preserve">1. Утвердить прилагаемую государственную </w:t>
      </w:r>
      <w:hyperlink w:anchor="P41" w:tooltip="ГОСУДАРСТВЕННАЯ ПРОГРАММА">
        <w:r>
          <w:rPr>
            <w:color w:val="0000FF"/>
          </w:rPr>
          <w:t>программу</w:t>
        </w:r>
      </w:hyperlink>
      <w:r>
        <w:t xml:space="preserve"> Республики Татарстан "Строительство автомобильных газонаполнительных компрессорных станций на территории Республики Татарстан на 2019 - 2024 годы" (далее - Программа).</w:t>
      </w:r>
    </w:p>
    <w:p w:rsidR="000B0349" w:rsidRDefault="00EE651A">
      <w:pPr>
        <w:pStyle w:val="ConsPlusNormal0"/>
        <w:jc w:val="both"/>
      </w:pPr>
      <w:r>
        <w:t xml:space="preserve">(в ред. Постановлений КМ РТ от 08.10.2020 </w:t>
      </w:r>
      <w:hyperlink r:id="rId8" w:tooltip="Постановление КМ РТ от 08.10.2020 N 914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<w:r>
          <w:rPr>
            <w:color w:val="0000FF"/>
          </w:rPr>
          <w:t>N 914</w:t>
        </w:r>
      </w:hyperlink>
      <w:r>
        <w:t xml:space="preserve">, от 22.04.2022 </w:t>
      </w:r>
      <w:hyperlink r:id="rId9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<w:r>
          <w:rPr>
            <w:color w:val="0000FF"/>
          </w:rPr>
          <w:t>N 385</w:t>
        </w:r>
      </w:hyperlink>
      <w:r>
        <w:t>)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2. Определить Министерство промышленности и торговли Республики Татарстан государственным заказчиком Программы.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3. Министерству промышленности и торговли Республики Татарстан ежегодно вносить в Кабинет Министров Республики Татарстан предложения по объемам финансирования мероприятий </w:t>
      </w:r>
      <w:hyperlink w:anchor="P41" w:tooltip="ГОСУДАРСТВЕННАЯ ПРОГРАММА">
        <w:r>
          <w:rPr>
            <w:color w:val="0000FF"/>
          </w:rPr>
          <w:t>Программы</w:t>
        </w:r>
      </w:hyperlink>
      <w:r>
        <w:t>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4. Министерству ф</w:t>
      </w:r>
      <w:r>
        <w:t xml:space="preserve">инансов Республики Татарстан ежегодно предусматривать в бюджете Республики Татарстан ассигнования на реализацию </w:t>
      </w:r>
      <w:hyperlink w:anchor="P41" w:tooltip="ГОСУДАРСТВЕННАЯ ПРОГРАММА">
        <w:r>
          <w:rPr>
            <w:color w:val="0000FF"/>
          </w:rPr>
          <w:t>Программы</w:t>
        </w:r>
      </w:hyperlink>
      <w:r>
        <w:t>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5. Министерствам, государственным комитетам и ведомствам Республики Татарстан при осуществлении централизованных закупок автотранспортной техники для учреждений и организаций, находящихся в их ведении, обеспечить приоритетное приобретение автотранспортной </w:t>
      </w:r>
      <w:r>
        <w:t>техники, использующей в качестве моторного топлива компримированный природный газ.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6. Рекомендовать главам муниципальных районов и городских округов Республики Татарстан: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принять меры, обеспечивающие эффективную реализацию </w:t>
      </w:r>
      <w:hyperlink w:anchor="P41" w:tooltip="ГОСУДАРСТВЕННАЯ ПРОГРАММА">
        <w:r>
          <w:rPr>
            <w:color w:val="0000FF"/>
          </w:rPr>
          <w:t>Программы</w:t>
        </w:r>
      </w:hyperlink>
      <w:r>
        <w:t xml:space="preserve"> на соответствующей территории;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при осуществлении централизованных закупок автотранспортной техники для учреждений и организаций, находящихся в их ведении, обеспечить приоритетное приобретение автотранспортной техники, испо</w:t>
      </w:r>
      <w:r>
        <w:t>льзующей в качестве моторного топлива компримированный природный газ;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при осуществлении закупок услуг городских и междугородных пассажирских перевозок предоставлять приоритет участнику с автопарком на компримированном природном газе.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7. Контроль за исполне</w:t>
      </w:r>
      <w:r>
        <w:t>нием настоящего постановления возложить на Министерство промышленности и торговли Республики Татарстан.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right"/>
      </w:pPr>
      <w:r>
        <w:t>Премьер-министр</w:t>
      </w:r>
    </w:p>
    <w:p w:rsidR="000B0349" w:rsidRDefault="00EE651A">
      <w:pPr>
        <w:pStyle w:val="ConsPlusNormal0"/>
        <w:jc w:val="right"/>
      </w:pPr>
      <w:r>
        <w:t>Республики Татарстан</w:t>
      </w:r>
    </w:p>
    <w:p w:rsidR="000B0349" w:rsidRDefault="00EE651A">
      <w:pPr>
        <w:pStyle w:val="ConsPlusNormal0"/>
        <w:jc w:val="right"/>
      </w:pPr>
      <w:r>
        <w:t>А.В.ПЕСОШИН</w:t>
      </w: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right"/>
        <w:outlineLvl w:val="0"/>
      </w:pPr>
      <w:r>
        <w:lastRenderedPageBreak/>
        <w:t>Утверждена</w:t>
      </w:r>
    </w:p>
    <w:p w:rsidR="000B0349" w:rsidRDefault="00EE651A">
      <w:pPr>
        <w:pStyle w:val="ConsPlusNormal0"/>
        <w:jc w:val="right"/>
      </w:pPr>
      <w:r>
        <w:t>постановлением</w:t>
      </w:r>
    </w:p>
    <w:p w:rsidR="000B0349" w:rsidRDefault="00EE651A">
      <w:pPr>
        <w:pStyle w:val="ConsPlusNormal0"/>
        <w:jc w:val="right"/>
      </w:pPr>
      <w:r>
        <w:t>Кабинета Министров</w:t>
      </w:r>
    </w:p>
    <w:p w:rsidR="000B0349" w:rsidRDefault="00EE651A">
      <w:pPr>
        <w:pStyle w:val="ConsPlusNormal0"/>
        <w:jc w:val="right"/>
      </w:pPr>
      <w:r>
        <w:t>Республики Татарстан</w:t>
      </w:r>
    </w:p>
    <w:p w:rsidR="000B0349" w:rsidRDefault="00EE651A">
      <w:pPr>
        <w:pStyle w:val="ConsPlusNormal0"/>
        <w:jc w:val="right"/>
      </w:pPr>
      <w:r>
        <w:t>от 18 сентября 2018 г. N 789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</w:pPr>
      <w:bookmarkStart w:id="0" w:name="P41"/>
      <w:bookmarkEnd w:id="0"/>
      <w:r>
        <w:t>Г</w:t>
      </w:r>
      <w:r>
        <w:t>ОСУДАРСТВЕННАЯ ПРОГРАММА</w:t>
      </w:r>
    </w:p>
    <w:p w:rsidR="000B0349" w:rsidRDefault="00EE651A">
      <w:pPr>
        <w:pStyle w:val="ConsPlusTitle0"/>
        <w:jc w:val="center"/>
      </w:pPr>
      <w:r>
        <w:t>РЕСПУБЛИКИ ТАТАРСТАН "СТРОИТЕЛЬСТВО АВТОМОБИЛЬНЫХ</w:t>
      </w:r>
    </w:p>
    <w:p w:rsidR="000B0349" w:rsidRDefault="00EE651A">
      <w:pPr>
        <w:pStyle w:val="ConsPlusTitle0"/>
        <w:jc w:val="center"/>
      </w:pPr>
      <w:r>
        <w:t>ГАЗОНАПОЛНИТЕЛЬНЫХ КОМПРЕССОРНЫХ СТАНЦИЙ НА ТЕРРИТОРИИ</w:t>
      </w:r>
    </w:p>
    <w:p w:rsidR="000B0349" w:rsidRDefault="00EE651A">
      <w:pPr>
        <w:pStyle w:val="ConsPlusTitle0"/>
        <w:jc w:val="center"/>
      </w:pPr>
      <w:r>
        <w:t>РЕСПУБЛИКИ ТАТАРСТАН НА 2019 - 2024 ГОДЫ"</w:t>
      </w:r>
    </w:p>
    <w:p w:rsidR="000B0349" w:rsidRDefault="000B034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КМ РТ от 08.10.2020 </w:t>
            </w:r>
            <w:hyperlink r:id="rId10" w:tooltip="Постановление КМ РТ от 08.10.2020 N 914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22.04.2022 </w:t>
            </w:r>
            <w:hyperlink r:id="rId11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Паспорт программы</w:t>
      </w:r>
    </w:p>
    <w:p w:rsidR="000B0349" w:rsidRDefault="00EE651A">
      <w:pPr>
        <w:pStyle w:val="ConsPlusNormal0"/>
        <w:jc w:val="center"/>
      </w:pPr>
      <w:r>
        <w:t xml:space="preserve">(в ред. </w:t>
      </w:r>
      <w:hyperlink r:id="rId12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<w:r>
          <w:rPr>
            <w:color w:val="0000FF"/>
          </w:rPr>
          <w:t>Постановления</w:t>
        </w:r>
      </w:hyperlink>
      <w:r>
        <w:t xml:space="preserve"> КМ РТ от 22.04.2022 N 385)</w:t>
      </w:r>
    </w:p>
    <w:p w:rsidR="000B0349" w:rsidRDefault="000B034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1191"/>
        <w:gridCol w:w="1417"/>
        <w:gridCol w:w="1560"/>
        <w:gridCol w:w="1701"/>
      </w:tblGrid>
      <w:tr w:rsidR="000B0349">
        <w:tc>
          <w:tcPr>
            <w:tcW w:w="2268" w:type="dxa"/>
          </w:tcPr>
          <w:p w:rsidR="000B0349" w:rsidRDefault="00EE651A">
            <w:pPr>
              <w:pStyle w:val="ConsPlusNormal0"/>
              <w:jc w:val="both"/>
            </w:pPr>
            <w:r>
              <w:t>Наименование программы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Госуда</w:t>
            </w:r>
            <w:r>
              <w:t>рственная программа Республики Татарстан "Строительство автомобильных газонаполнительных компрессорных станций на территории Республики Татарстан на 2019 - 2024 годы" (далее - Программа)</w:t>
            </w:r>
          </w:p>
        </w:tc>
      </w:tr>
      <w:tr w:rsidR="000B0349">
        <w:tc>
          <w:tcPr>
            <w:tcW w:w="2268" w:type="dxa"/>
          </w:tcPr>
          <w:p w:rsidR="000B0349" w:rsidRDefault="00EE651A">
            <w:pPr>
              <w:pStyle w:val="ConsPlusNormal0"/>
              <w:jc w:val="both"/>
            </w:pPr>
            <w:r>
              <w:t>Государственный заказчик Программы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Министерство промышленности и тор</w:t>
            </w:r>
            <w:r>
              <w:t>говли Республики Татарстан</w:t>
            </w:r>
          </w:p>
        </w:tc>
      </w:tr>
      <w:tr w:rsidR="000B0349">
        <w:tc>
          <w:tcPr>
            <w:tcW w:w="2268" w:type="dxa"/>
          </w:tcPr>
          <w:p w:rsidR="000B0349" w:rsidRDefault="00EE651A">
            <w:pPr>
              <w:pStyle w:val="ConsPlusNormal0"/>
              <w:jc w:val="both"/>
            </w:pPr>
            <w:r>
              <w:t>Основные разработчики Программы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Министерство промышленности и торговли Республики Татарстан;</w:t>
            </w:r>
          </w:p>
          <w:p w:rsidR="000B0349" w:rsidRDefault="00EE651A">
            <w:pPr>
              <w:pStyle w:val="ConsPlusNormal0"/>
              <w:jc w:val="both"/>
            </w:pPr>
            <w:r>
              <w:t>государственное автономное учреждение "Центр энергоресурсоэффективных технологий Республики Татарстан";</w:t>
            </w:r>
          </w:p>
          <w:p w:rsidR="000B0349" w:rsidRDefault="00EE651A">
            <w:pPr>
              <w:pStyle w:val="ConsPlusNormal0"/>
              <w:jc w:val="both"/>
            </w:pPr>
            <w:r>
              <w:t>Министерство транспорта и дорож</w:t>
            </w:r>
            <w:r>
              <w:t>ного хозяйства Республики Татарстан;</w:t>
            </w:r>
          </w:p>
          <w:p w:rsidR="000B0349" w:rsidRDefault="00EE651A">
            <w:pPr>
              <w:pStyle w:val="ConsPlusNormal0"/>
              <w:jc w:val="both"/>
            </w:pPr>
            <w:r>
              <w:t>Министерство сельского хозяйства и продовольствия Республики Татарстан;</w:t>
            </w:r>
          </w:p>
          <w:p w:rsidR="000B0349" w:rsidRDefault="00EE651A">
            <w:pPr>
              <w:pStyle w:val="ConsPlusNormal0"/>
              <w:jc w:val="both"/>
            </w:pPr>
            <w:r>
              <w:t>муниципальные образования Республики Татарстан (по согласованию)</w:t>
            </w:r>
          </w:p>
        </w:tc>
      </w:tr>
      <w:tr w:rsidR="000B0349">
        <w:tc>
          <w:tcPr>
            <w:tcW w:w="2268" w:type="dxa"/>
          </w:tcPr>
          <w:p w:rsidR="000B0349" w:rsidRDefault="00EE651A">
            <w:pPr>
              <w:pStyle w:val="ConsPlusNormal0"/>
            </w:pPr>
            <w:r>
              <w:t>Цель Программы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Стимулирование перевода и приобретения транспортных средств, работающих на компримированном природном газе (далее - КПГ), сжиженном природном газе (далее - СПГ) путем расширения существующей в республике газозаправочной инфраструктуры, в том числе с учетом</w:t>
            </w:r>
            <w:r>
              <w:t xml:space="preserve"> наличия на заправках зарядных колонок (станций) для транспортных средств с электродвигателями</w:t>
            </w:r>
          </w:p>
        </w:tc>
      </w:tr>
      <w:tr w:rsidR="000B0349">
        <w:tc>
          <w:tcPr>
            <w:tcW w:w="2268" w:type="dxa"/>
          </w:tcPr>
          <w:p w:rsidR="000B0349" w:rsidRDefault="00EE651A">
            <w:pPr>
              <w:pStyle w:val="ConsPlusNormal0"/>
              <w:jc w:val="both"/>
            </w:pPr>
            <w:r>
              <w:t>Задачи Программы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Строительство и ввод в эксплуатацию новых автомобильных газонаполнительных компрессорных станций (далее - АГНКС), криогенных автомобильных запр</w:t>
            </w:r>
            <w:r>
              <w:t xml:space="preserve">авочных станций (далее - КриоАЗС), реконструкция или модернизация существующих многотопливных автомобильных заправочных станций или автомобильных газозаправочных станций (далее - АЗС) с установкой блоков по заправке КПГ и СПГ, в том числе с учетом наличия </w:t>
            </w:r>
            <w:r>
              <w:t>зарядных колонок (станций) для транспортных средств с электродвигателями</w:t>
            </w:r>
          </w:p>
        </w:tc>
      </w:tr>
      <w:tr w:rsidR="000B0349">
        <w:tc>
          <w:tcPr>
            <w:tcW w:w="2268" w:type="dxa"/>
          </w:tcPr>
          <w:p w:rsidR="000B0349" w:rsidRDefault="00EE651A">
            <w:pPr>
              <w:pStyle w:val="ConsPlusNormal0"/>
              <w:jc w:val="both"/>
            </w:pPr>
            <w:r>
              <w:t>Сроки и этапы реализации Программы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</w:pPr>
            <w:r>
              <w:t>2019 - 2024 годы.</w:t>
            </w:r>
          </w:p>
          <w:p w:rsidR="000B0349" w:rsidRDefault="00EE651A">
            <w:pPr>
              <w:pStyle w:val="ConsPlusNormal0"/>
            </w:pPr>
            <w:r>
              <w:t>I этап - 2019 год;</w:t>
            </w:r>
          </w:p>
          <w:p w:rsidR="000B0349" w:rsidRDefault="00EE651A">
            <w:pPr>
              <w:pStyle w:val="ConsPlusNormal0"/>
            </w:pPr>
            <w:r>
              <w:t>II этап - 2020 год;</w:t>
            </w:r>
          </w:p>
          <w:p w:rsidR="000B0349" w:rsidRDefault="00EE651A">
            <w:pPr>
              <w:pStyle w:val="ConsPlusNormal0"/>
            </w:pPr>
            <w:r>
              <w:t>III этап - 2021 год;</w:t>
            </w:r>
          </w:p>
          <w:p w:rsidR="000B0349" w:rsidRDefault="00EE651A">
            <w:pPr>
              <w:pStyle w:val="ConsPlusNormal0"/>
            </w:pPr>
            <w:r>
              <w:t>IV этап - 2022 год;</w:t>
            </w:r>
          </w:p>
          <w:p w:rsidR="000B0349" w:rsidRDefault="00EE651A">
            <w:pPr>
              <w:pStyle w:val="ConsPlusNormal0"/>
            </w:pPr>
            <w:r>
              <w:t>V этап - 2023 - 2024 годы</w:t>
            </w:r>
          </w:p>
        </w:tc>
      </w:tr>
      <w:tr w:rsidR="000B0349">
        <w:tc>
          <w:tcPr>
            <w:tcW w:w="2268" w:type="dxa"/>
            <w:vMerge w:val="restart"/>
          </w:tcPr>
          <w:p w:rsidR="000B0349" w:rsidRDefault="00EE651A">
            <w:pPr>
              <w:pStyle w:val="ConsPlusNormal0"/>
              <w:jc w:val="both"/>
            </w:pPr>
            <w:r>
              <w:lastRenderedPageBreak/>
              <w:t>Объемы финансирования с разбивкой по годам и источникам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Общий объем финансирования Программы составляет 4 800,0 млн рублей, в том числе за счет средств федерального бюджета - 842,16 млн рублей, бюджета Республики Татарстан - 633,84 млн рублей, внебюджетных</w:t>
            </w:r>
            <w:r>
              <w:t xml:space="preserve"> источников - 3 324,0 млн рублей.</w:t>
            </w:r>
          </w:p>
          <w:p w:rsidR="000B0349" w:rsidRDefault="00EE651A">
            <w:pPr>
              <w:pStyle w:val="ConsPlusNormal0"/>
              <w:jc w:val="right"/>
            </w:pPr>
            <w:r>
              <w:t>(млн рублей)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Всего средств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Средства из внебюджетных источников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240,0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160,0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>117,6</w:t>
            </w:r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>162,4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560,0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1 200,0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>213,84</w:t>
            </w:r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>146,16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 xml:space="preserve">100,8 </w:t>
            </w:r>
            <w:hyperlink w:anchor="P116" w:tooltip="&lt;*&gt; Суммы средств, выделяемых из бюджета Республики Татарстан, по направлениям Программы будут ежегодно уточняться в соответствии с законом Республики Татарстан о бюджете Республики Татарстан на очередной финансовый год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>1</w:t>
            </w:r>
            <w:r>
              <w:t>51,2 &lt;*&gt;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>100,8 &lt;*&gt;</w:t>
            </w:r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 xml:space="preserve">151,2 </w:t>
            </w:r>
            <w:hyperlink w:anchor="P116" w:tooltip="&lt;*&gt; Суммы средств, выделяемых из бюджета Республики Татарстан, по направлениям Программы будут ежегодно уточняться в соответствии с законом Республики Татарстан о бюджете Республики Татарстан на очередной финансовый год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907" w:type="dxa"/>
          </w:tcPr>
          <w:p w:rsidR="000B0349" w:rsidRDefault="00EE651A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B0349" w:rsidRDefault="00EE651A">
            <w:pPr>
              <w:pStyle w:val="ConsPlusNormal0"/>
              <w:jc w:val="center"/>
            </w:pPr>
            <w:r>
              <w:t>4 800,0</w:t>
            </w:r>
          </w:p>
        </w:tc>
        <w:tc>
          <w:tcPr>
            <w:tcW w:w="1417" w:type="dxa"/>
          </w:tcPr>
          <w:p w:rsidR="000B0349" w:rsidRDefault="00EE651A">
            <w:pPr>
              <w:pStyle w:val="ConsPlusNormal0"/>
              <w:jc w:val="center"/>
            </w:pPr>
            <w:r>
              <w:t>633,84 &lt;*&gt;</w:t>
            </w:r>
          </w:p>
        </w:tc>
        <w:tc>
          <w:tcPr>
            <w:tcW w:w="1560" w:type="dxa"/>
          </w:tcPr>
          <w:p w:rsidR="000B0349" w:rsidRDefault="00EE651A">
            <w:pPr>
              <w:pStyle w:val="ConsPlusNormal0"/>
              <w:jc w:val="center"/>
            </w:pPr>
            <w:r>
              <w:t>842,16 &lt;*&gt;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3 324,0</w:t>
            </w:r>
          </w:p>
        </w:tc>
      </w:tr>
      <w:tr w:rsidR="000B0349">
        <w:tc>
          <w:tcPr>
            <w:tcW w:w="22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--------------------------------</w:t>
            </w:r>
          </w:p>
          <w:p w:rsidR="000B0349" w:rsidRDefault="00EE651A">
            <w:pPr>
              <w:pStyle w:val="ConsPlusNormal0"/>
              <w:jc w:val="both"/>
            </w:pPr>
            <w:bookmarkStart w:id="1" w:name="P116"/>
            <w:bookmarkEnd w:id="1"/>
            <w:r>
              <w:t>&lt;*&gt; Суммы средств, выделяемых из бюджета Республики Татарстан, по направлениям Программы будут ежегодно уточняться в соответствии с законом Республики Татарстан о бюджете Республики Татарстан на очередной финансовый год.</w:t>
            </w:r>
          </w:p>
          <w:p w:rsidR="000B0349" w:rsidRDefault="00EE651A">
            <w:pPr>
              <w:pStyle w:val="ConsPlusNormal0"/>
              <w:jc w:val="both"/>
            </w:pPr>
            <w:r>
              <w:t>Объем ресурсного обеспечения реализ</w:t>
            </w:r>
            <w:r>
              <w:t>ации Программы за счет средств федерального бюджета будет определен в соответствии с ежегодно заключаемыми соглашениями между федеральными органами власти и Кабинетом Министров Республики Татарстан на условиях софинансирования расходных обязательств Респуб</w:t>
            </w:r>
            <w:r>
              <w:t>лики Татарстан</w:t>
            </w:r>
          </w:p>
        </w:tc>
      </w:tr>
      <w:tr w:rsidR="000B0349">
        <w:tc>
          <w:tcPr>
            <w:tcW w:w="2268" w:type="dxa"/>
          </w:tcPr>
          <w:p w:rsidR="000B0349" w:rsidRDefault="00EE651A">
            <w:pPr>
              <w:pStyle w:val="ConsPlusNormal0"/>
              <w:jc w:val="both"/>
            </w:pPr>
            <w:r>
              <w:t>Ожидаемые конечные результаты реализации цели и задач Программы</w:t>
            </w:r>
          </w:p>
        </w:tc>
        <w:tc>
          <w:tcPr>
            <w:tcW w:w="6776" w:type="dxa"/>
            <w:gridSpan w:val="5"/>
          </w:tcPr>
          <w:p w:rsidR="000B0349" w:rsidRDefault="00EE651A">
            <w:pPr>
              <w:pStyle w:val="ConsPlusNormal0"/>
              <w:jc w:val="both"/>
            </w:pPr>
            <w:r>
              <w:t>Увеличить к 2024 году:</w:t>
            </w:r>
          </w:p>
          <w:p w:rsidR="000B0349" w:rsidRDefault="00EE651A">
            <w:pPr>
              <w:pStyle w:val="ConsPlusNormal0"/>
              <w:jc w:val="both"/>
            </w:pPr>
            <w:r>
              <w:t>количество новых АГНКС, в том числе с учетом наличия зарядных колонок (станций) для транспортных средств с электродвигателями, на 40 единиц;</w:t>
            </w:r>
          </w:p>
          <w:p w:rsidR="000B0349" w:rsidRDefault="00EE651A">
            <w:pPr>
              <w:pStyle w:val="ConsPlusNormal0"/>
              <w:jc w:val="both"/>
            </w:pPr>
            <w:r>
              <w:t>количество новых КриоАЗС на 12 единиц;</w:t>
            </w:r>
          </w:p>
          <w:p w:rsidR="000B0349" w:rsidRDefault="00EE651A">
            <w:pPr>
              <w:pStyle w:val="ConsPlusNormal0"/>
              <w:jc w:val="both"/>
            </w:pPr>
            <w:r>
              <w:t>количество реконструируемых существующих АЗС с установкой блоков по заправке КПГ и СПГ, в том числе с учетом наличия зарядных колонок (станций) для транспортных средств с электродвигателями, на 10 единиц</w:t>
            </w: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1. Содержан</w:t>
      </w:r>
      <w:r>
        <w:t>ие проблемы и обоснование необходимости</w:t>
      </w:r>
    </w:p>
    <w:p w:rsidR="000B0349" w:rsidRDefault="00EE651A">
      <w:pPr>
        <w:pStyle w:val="ConsPlusTitle0"/>
        <w:jc w:val="center"/>
      </w:pPr>
      <w:r>
        <w:t>ее решения программными методами</w:t>
      </w:r>
    </w:p>
    <w:p w:rsidR="000B0349" w:rsidRDefault="00EE651A">
      <w:pPr>
        <w:pStyle w:val="ConsPlusNormal0"/>
        <w:jc w:val="center"/>
      </w:pPr>
      <w:r>
        <w:t xml:space="preserve">(в ред. </w:t>
      </w:r>
      <w:hyperlink r:id="rId13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<w:r>
          <w:rPr>
            <w:color w:val="0000FF"/>
          </w:rPr>
          <w:t>Постановления</w:t>
        </w:r>
      </w:hyperlink>
      <w:r>
        <w:t xml:space="preserve"> КМ РТ от 22.04.2022 N 385)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 xml:space="preserve">Использование КПГ в качестве </w:t>
      </w:r>
      <w:r>
        <w:t>газомоторного топлива является перспективной альтернативой использованию нефтяного топлива.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Мировой парк автомобилей, работающих на КПГ, составляет 28,1 млн единиц.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Российской Федерации зарегистрировано более 59,22 млн единиц транспортных средств, из них</w:t>
      </w:r>
      <w:r>
        <w:t xml:space="preserve"> 239 тыс. единиц (0,40 процента общего количества) используют КПГ в качестве газомоторного топлива.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lastRenderedPageBreak/>
        <w:t>По состоянию на 1 января 2022 года в Республике Татарстан эксплуатируется более 11,3 тыс. единиц транспортных средств на газомоторном топливе (метане).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Наиб</w:t>
      </w:r>
      <w:r>
        <w:t>ольший потенциал использования КПГ в качестве газомоторного топлива выявлен: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городах республиканского значения (г. г. Казани, Набережные Челны, Нижнекамске), где расположены крупные промышленные автотранспортные предприятия, в том числе предприятия жилищ</w:t>
      </w:r>
      <w:r>
        <w:t>но-коммунального хозяйства;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муниципальных районах (Азнакаевском, Альметьевском, Буинском, Бугульминском, Высокогорском, Елабужском, Заинском, Зеленодольском, Лениногорском, Тукаевском), где расположены региональные грузовые и пассажирские транспортные ко</w:t>
      </w:r>
      <w:r>
        <w:t>мпании, муниципальные предприятия жилищно-коммунального и дорожного хозяйства;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автотранспортном комплексе Республики Татарстан, включающем крупные автодорожные предприятия;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агропромышленном комплексе Республики Татарстан, включающем крупные агропромышл</w:t>
      </w:r>
      <w:r>
        <w:t>енные холдинги, агропромышленные предприятия и крестьянско-фермерские хозяйства;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на автодорогах федерального и регионального значения, проходящих по территории Республики Татарстан, приведенных в </w:t>
      </w:r>
      <w:hyperlink w:anchor="P140" w:tooltip="Автомобильные дороги федерального и регионального значения,">
        <w:r>
          <w:rPr>
            <w:color w:val="0000FF"/>
          </w:rPr>
          <w:t>таблице 1</w:t>
        </w:r>
      </w:hyperlink>
      <w:r>
        <w:t>. Протяженность автомобильных дорог регионального и федерального значения в республике составляет 14 729,1 километра.</w:t>
      </w:r>
    </w:p>
    <w:p w:rsidR="000B0349" w:rsidRDefault="00EE651A">
      <w:pPr>
        <w:pStyle w:val="ConsPlusNormal0"/>
        <w:spacing w:before="200"/>
        <w:jc w:val="right"/>
        <w:outlineLvl w:val="2"/>
      </w:pPr>
      <w:r>
        <w:t>Таблица 1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</w:pPr>
      <w:bookmarkStart w:id="2" w:name="P140"/>
      <w:bookmarkEnd w:id="2"/>
      <w:r>
        <w:t>Автомобильные дороги федерального и регионального значения,</w:t>
      </w:r>
    </w:p>
    <w:p w:rsidR="000B0349" w:rsidRDefault="00EE651A">
      <w:pPr>
        <w:pStyle w:val="ConsPlusTitle0"/>
        <w:jc w:val="center"/>
      </w:pPr>
      <w:r>
        <w:t>проходящие по территории Р</w:t>
      </w:r>
      <w:r>
        <w:t>еспублики Татарстан,</w:t>
      </w:r>
    </w:p>
    <w:p w:rsidR="000B0349" w:rsidRDefault="00EE651A">
      <w:pPr>
        <w:pStyle w:val="ConsPlusTitle0"/>
        <w:jc w:val="center"/>
      </w:pPr>
      <w:r>
        <w:t>с высокой интенсивностью движения</w:t>
      </w:r>
    </w:p>
    <w:p w:rsidR="000B0349" w:rsidRDefault="000B034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11"/>
      </w:tblGrid>
      <w:tr w:rsidR="000B0349">
        <w:tc>
          <w:tcPr>
            <w:tcW w:w="567" w:type="dxa"/>
          </w:tcPr>
          <w:p w:rsidR="000B0349" w:rsidRDefault="00EE651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211" w:type="dxa"/>
          </w:tcPr>
          <w:p w:rsidR="000B0349" w:rsidRDefault="00EE651A">
            <w:pPr>
              <w:pStyle w:val="ConsPlusNormal0"/>
              <w:jc w:val="center"/>
            </w:pPr>
            <w:r>
              <w:t>Среднесуточная интенсивность движения, автомобилей/сутки</w:t>
            </w:r>
          </w:p>
        </w:tc>
      </w:tr>
      <w:tr w:rsidR="000B0349">
        <w:tc>
          <w:tcPr>
            <w:tcW w:w="567" w:type="dxa"/>
          </w:tcPr>
          <w:p w:rsidR="000B0349" w:rsidRDefault="00EE651A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both"/>
            </w:pPr>
            <w:r>
              <w:t>М-7 "Волга" Москва - Владимир - Нижний Новгород - Казань - Уфа</w:t>
            </w:r>
          </w:p>
        </w:tc>
        <w:tc>
          <w:tcPr>
            <w:tcW w:w="2211" w:type="dxa"/>
          </w:tcPr>
          <w:p w:rsidR="000B0349" w:rsidRDefault="00EE651A">
            <w:pPr>
              <w:pStyle w:val="ConsPlusNormal0"/>
              <w:jc w:val="center"/>
            </w:pPr>
            <w:r>
              <w:t>18 657</w:t>
            </w:r>
          </w:p>
        </w:tc>
      </w:tr>
      <w:tr w:rsidR="000B0349">
        <w:tc>
          <w:tcPr>
            <w:tcW w:w="567" w:type="dxa"/>
          </w:tcPr>
          <w:p w:rsidR="000B0349" w:rsidRDefault="00EE651A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both"/>
            </w:pPr>
            <w:r>
              <w:t>Р-239 Казань - Оренбург - Акбулак до границы с Республикой Казахстан</w:t>
            </w:r>
          </w:p>
        </w:tc>
        <w:tc>
          <w:tcPr>
            <w:tcW w:w="2211" w:type="dxa"/>
          </w:tcPr>
          <w:p w:rsidR="000B0349" w:rsidRDefault="00EE651A">
            <w:pPr>
              <w:pStyle w:val="ConsPlusNormal0"/>
              <w:jc w:val="center"/>
            </w:pPr>
            <w:r>
              <w:t>14 136</w:t>
            </w:r>
          </w:p>
        </w:tc>
      </w:tr>
      <w:tr w:rsidR="000B0349">
        <w:tc>
          <w:tcPr>
            <w:tcW w:w="567" w:type="dxa"/>
          </w:tcPr>
          <w:p w:rsidR="000B0349" w:rsidRDefault="00EE651A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both"/>
            </w:pPr>
            <w:r>
              <w:t>Р-239 Казань - Оренбург - Акбулак до границы с Республикой Казахстан, подъезд к аэропорту "Казань"</w:t>
            </w:r>
          </w:p>
        </w:tc>
        <w:tc>
          <w:tcPr>
            <w:tcW w:w="2211" w:type="dxa"/>
          </w:tcPr>
          <w:p w:rsidR="000B0349" w:rsidRDefault="00EE651A">
            <w:pPr>
              <w:pStyle w:val="ConsPlusNormal0"/>
              <w:jc w:val="center"/>
            </w:pPr>
            <w:r>
              <w:t>11 204</w:t>
            </w:r>
          </w:p>
        </w:tc>
      </w:tr>
      <w:tr w:rsidR="000B0349">
        <w:tc>
          <w:tcPr>
            <w:tcW w:w="567" w:type="dxa"/>
          </w:tcPr>
          <w:p w:rsidR="000B0349" w:rsidRDefault="00EE651A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both"/>
            </w:pPr>
            <w:r>
              <w:t>Р-241 Казань - Буинск - Ульяновск</w:t>
            </w:r>
          </w:p>
        </w:tc>
        <w:tc>
          <w:tcPr>
            <w:tcW w:w="2211" w:type="dxa"/>
          </w:tcPr>
          <w:p w:rsidR="000B0349" w:rsidRDefault="00EE651A">
            <w:pPr>
              <w:pStyle w:val="ConsPlusNormal0"/>
              <w:jc w:val="center"/>
            </w:pPr>
            <w:r>
              <w:t>6 779</w:t>
            </w:r>
          </w:p>
        </w:tc>
      </w:tr>
      <w:tr w:rsidR="000B0349">
        <w:tc>
          <w:tcPr>
            <w:tcW w:w="567" w:type="dxa"/>
          </w:tcPr>
          <w:p w:rsidR="000B0349" w:rsidRDefault="00EE651A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both"/>
            </w:pPr>
            <w:r>
              <w:t>А-295 Йошкар-Ола - Зеленодольск - автомобильная дорога М-7 "Волга"</w:t>
            </w:r>
          </w:p>
        </w:tc>
        <w:tc>
          <w:tcPr>
            <w:tcW w:w="2211" w:type="dxa"/>
          </w:tcPr>
          <w:p w:rsidR="000B0349" w:rsidRDefault="00EE651A">
            <w:pPr>
              <w:pStyle w:val="ConsPlusNormal0"/>
              <w:jc w:val="center"/>
            </w:pPr>
            <w:r>
              <w:t>41 705</w:t>
            </w:r>
          </w:p>
        </w:tc>
      </w:tr>
      <w:tr w:rsidR="000B0349">
        <w:tc>
          <w:tcPr>
            <w:tcW w:w="567" w:type="dxa"/>
            <w:vMerge w:val="restart"/>
          </w:tcPr>
          <w:p w:rsidR="000B0349" w:rsidRDefault="00EE651A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both"/>
            </w:pPr>
            <w:r>
              <w:t>Строящиеся автодороги:</w:t>
            </w:r>
          </w:p>
          <w:p w:rsidR="000B0349" w:rsidRDefault="00EE651A">
            <w:pPr>
              <w:pStyle w:val="ConsPlusNormal0"/>
              <w:jc w:val="both"/>
            </w:pPr>
            <w:r>
              <w:t>Автомобильная дорога М-7 "Волга" Москва - Владимир - Нижний Новгород - Казань - Уфа на участке с обходом городов Нижнекамск и Набережные Челны</w:t>
            </w:r>
          </w:p>
        </w:tc>
        <w:tc>
          <w:tcPr>
            <w:tcW w:w="2211" w:type="dxa"/>
            <w:vMerge w:val="restart"/>
          </w:tcPr>
          <w:p w:rsidR="000B0349" w:rsidRDefault="00EE651A">
            <w:pPr>
              <w:pStyle w:val="ConsPlusNormal0"/>
              <w:jc w:val="center"/>
            </w:pPr>
            <w:r>
              <w:t>-</w:t>
            </w:r>
          </w:p>
        </w:tc>
      </w:tr>
      <w:tr w:rsidR="000B0349">
        <w:tc>
          <w:tcPr>
            <w:tcW w:w="567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236" w:type="dxa"/>
          </w:tcPr>
          <w:p w:rsidR="000B0349" w:rsidRDefault="00EE651A">
            <w:pPr>
              <w:pStyle w:val="ConsPlusNormal0"/>
              <w:jc w:val="both"/>
            </w:pPr>
            <w:r>
              <w:t>Скоростная автомобильная дорога М-12 Москва - Нижний Новгород - Казань</w:t>
            </w:r>
          </w:p>
        </w:tc>
        <w:tc>
          <w:tcPr>
            <w:tcW w:w="2211" w:type="dxa"/>
            <w:vMerge/>
          </w:tcPr>
          <w:p w:rsidR="000B0349" w:rsidRDefault="000B0349">
            <w:pPr>
              <w:pStyle w:val="ConsPlusNormal0"/>
            </w:pP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С целью развития направления использования КПГ и СПГ в качестве газомоторного топлива в Российской Федерации и Республике Татарстан приняты и реализуются: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lastRenderedPageBreak/>
        <w:t xml:space="preserve">государственная </w:t>
      </w:r>
      <w:hyperlink r:id="rId14" w:tooltip="Постановление Правительства РФ от 15.04.2014 N 321 (ред. от 21.03.2022) &quot;Об утверждении государственной программы Российской Федерации &quot;Развитие энергетики&quot; {КонсультантПлюс}">
        <w:r>
          <w:rPr>
            <w:color w:val="0000FF"/>
          </w:rPr>
          <w:t>программа</w:t>
        </w:r>
      </w:hyperlink>
      <w:r>
        <w:t xml:space="preserve"> Российской Федерации "Развитие энергетики", утвержденная постановлением Правительства Российской Федерации от 15 апреля 2014 г. N 321 "Об утверждении государ</w:t>
      </w:r>
      <w:r>
        <w:t>ственной программы Российской Федерации "Развитие энергетики";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государственная </w:t>
      </w:r>
      <w:hyperlink r:id="rId15" w:tooltip="Постановление КМ РТ от 26.04.2013 N 283 (ред. от 02.07.2019) &quot;Об утверждении Государственной программы Республики Татарстан &quot;Развитие рынка газомоторного топлива в Республике Татарстан на 2013 - 2023 годы&quot; {КонсультантПлюс}">
        <w:r>
          <w:rPr>
            <w:color w:val="0000FF"/>
          </w:rPr>
          <w:t>программа</w:t>
        </w:r>
      </w:hyperlink>
      <w:r>
        <w:t xml:space="preserve"> Республики Татарс</w:t>
      </w:r>
      <w:r>
        <w:t>тан "Развитие рынка газомоторного топлива в Республике Татарстан на 2013 - 2023 годы", утвержденная постановлением Кабинета Министров Республики Татарстан от 26.04.2013 N 283 "Об утверждении государственной программы Республики Татарстан "Развитие рынка га</w:t>
      </w:r>
      <w:r>
        <w:t>зомоторного топлива в Республике Татарстан на 2013 - 2023 годы";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государственная </w:t>
      </w:r>
      <w:hyperlink r:id="rId16" w:tooltip="Постановление КМ РТ от 04.12.2013 N 954 (ред. от 24.05.2021) &quot;Об утверждении Государственной программы &quot;Энергоресурсоэффективность в Республике Татарстан&quot; {КонсультантПлюс}">
        <w:r>
          <w:rPr>
            <w:color w:val="0000FF"/>
          </w:rPr>
          <w:t>программа</w:t>
        </w:r>
      </w:hyperlink>
      <w:r>
        <w:t xml:space="preserve"> Республики Татарстан "Энергоресурсоэффективность в Республике Тата</w:t>
      </w:r>
      <w:r>
        <w:t>рстан", утвержденная постановлением Кабинета Министров Республики Татарстан от 04.12.2013 N 954 "Об утверждении государственной программы "Энергоресурсоэффективность в Республике Татарстан".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Основная цель указанных программ - обеспечение устойчивого снижен</w:t>
      </w:r>
      <w:r>
        <w:t>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средствами, а также обновление автотранспортного парка Республики Татарстан</w:t>
      </w:r>
      <w:r>
        <w:t xml:space="preserve"> за счет приобретения и переоборудования транспортных средств на газ (метан) и увеличение использования КПГ (метана) и СПГ в качестве моторного топлива.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Приняты следующие федеральные и региональные нормативные правовые акты, обеспечивающие в Республике Тат</w:t>
      </w:r>
      <w:r>
        <w:t>арстан необходимые условия для активизации работ по строительству АГНКС и переводу транспортных средств на газомоторное топливо: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1. </w:t>
      </w:r>
      <w:hyperlink r:id="rId17" w:tooltip="Постановление Правительства РФ от 15.04.2014 N 321 (ред. от 21.03.2022) &quot;Об утверждении государственной программы Российской Федерации &quot;Развитие энергетики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</w:t>
      </w:r>
      <w:r>
        <w:t>5 апреля 2014 г. N 321 "Об утверждении государственной программы Российской Федерации "Развитие энергетики".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2. </w:t>
      </w:r>
      <w:hyperlink r:id="rId18" w:tooltip="Постановление Правительства РФ от 18.10.2019 N 1344 &quot;Об утверждении Правил предоставления в 2019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октября 2019 г. N 1344 "Об утверждении Правил предоставления в 2019 году иных межбюджетных трансфертов из федерального бюджета бюджетам субъектов Российской Федерации, источником финансового</w:t>
      </w:r>
      <w:r>
        <w:t xml:space="preserve"> обеспечения которых являются бюджетные ассигнования резервного фонда Правительства Российской Федерации, в целях реализации мероприятий по развитию рынка газомоторного топлива".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3. </w:t>
      </w:r>
      <w:hyperlink r:id="rId19" w:tooltip="Постановление Правительства РФ от 29.08.2020 N 1308 (ред. от 13.02.2021) &quot;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августа 2020 г. N 1308 "Об утверждении Правил предоставления субсидий из федерального бюджета юридическим лицам на возме</w:t>
      </w:r>
      <w:r>
        <w:t>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4. </w:t>
      </w:r>
      <w:hyperlink r:id="rId20" w:tooltip="Распоряжение Правительства РФ от 13.02.2021 N 350-р &lt;Об утверждении плана мероприятий (&quot;дорожной карты&quot;) по развитию рынка малотоннажного сжиженного природного газа и газомоторного топлива в Российской Федерации на период до 2025 года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13 февраля 2021 г. N 350-р об утверждении плана мероприятий ("дорожной карты") по развитию рынка малотоннажного сжиженного природного газа и газомоторн</w:t>
      </w:r>
      <w:r>
        <w:t>ого топлива в Российской Федерации на период до 2025 года.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5. </w:t>
      </w:r>
      <w:hyperlink r:id="rId21" w:tooltip="Распоряжение Правительства РФ от 16.03.2021 N 640-р &lt;О долгосрочной программе развития производства сжиженного природного газа в Российской Федерации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16 марта 2021 г. N 640-р о долгосрочной программе развития производства сжиженног</w:t>
      </w:r>
      <w:r>
        <w:t>о природного газа в Российской Федерации.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6. </w:t>
      </w:r>
      <w:hyperlink r:id="rId22" w:tooltip="Распоряжение Президента РТ от 17.04.2017 N 234 &quot;О предоставлении земельных участков для реализации масштабного инвестиционного проекта&quot; {КонсультантПлюс}">
        <w:r>
          <w:rPr>
            <w:color w:val="0000FF"/>
          </w:rPr>
          <w:t>Распоряжение</w:t>
        </w:r>
      </w:hyperlink>
      <w:r>
        <w:t xml:space="preserve"> Президента Республики Татарстан от 17.04.2017 N 234 "О предоставлении земельных участков для реализации масштабного инвестиционного проекта".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7. Распоряжение Президента Республики Татарстан от 02.05.2020 N 161 "О предоставлении земельных участков для реализации масштабного инвестиционного проекта".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8. Распоряжение Президента Республики Татарстан от 12.11.2021 N 295 "О предоставлении земельных уч</w:t>
      </w:r>
      <w:r>
        <w:t>астков для реализации масштабного инвестиционного проекта".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9. Распоряжение Президента Республики Татарстан от 22.12.2021 N 342 "О предоставлении земельных участков для реализации масштабного инвестиционного проекта".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10. </w:t>
      </w:r>
      <w:hyperlink r:id="rId23" w:tooltip="Постановление КМ РТ от 26.04.2013 N 283 (ред. от 02.07.2019) &quot;Об утверждении Государственной программы Республики Татарстан &quot;Развитие рынка газомоторного топлива в Республике Татарстан на 2013 - 2023 годы&quot; {КонсультантПлюс}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26.04.2013 N 283 "Об утверждении государственной программы Республики Татарстан "Развитие рынка газомотор</w:t>
      </w:r>
      <w:r>
        <w:t>ного топлива в Республике Татарстан на 2013 - 2023 годы".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11. </w:t>
      </w:r>
      <w:hyperlink r:id="rId24" w:tooltip="Постановление КМ РТ от 04.12.2013 N 954 (ред. от 24.05.2021) &quot;Об утверждении Государственной программы &quot;Энергоресурсоэффективность в Республике Татарстан&quot; {КонсультантПлюс}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04.12.2013 N 954 "Об утверждении </w:t>
      </w:r>
      <w:r>
        <w:lastRenderedPageBreak/>
        <w:t>государственной программы Р</w:t>
      </w:r>
      <w:r>
        <w:t>еспублики Татарстан "Энергоресурсоэффективность в Республике Татарстан".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12. </w:t>
      </w:r>
      <w:hyperlink r:id="rId25" w:tooltip="Постановление КМ РТ от 28.10.2021 N 1008 &quot;Об утверждении Порядка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">
        <w:r>
          <w:rPr>
            <w:color w:val="0000FF"/>
          </w:rPr>
          <w:t>Постановление</w:t>
        </w:r>
      </w:hyperlink>
      <w:r>
        <w:t xml:space="preserve"> Ка</w:t>
      </w:r>
      <w:r>
        <w:t>бинета Министров Республики Татарстан от 28.10.2021 N 1008 "Об утверждении Порядка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</w:t>
      </w:r>
      <w:r>
        <w:t>змещение части затрат, связанных со строительством объектов заправки транспортных средств компримированным природным газом".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13. Соглашение между Правительством Республики Татарстан и обществом с ограниченной ответственностью "Газпром газомоторное топливо"</w:t>
      </w:r>
      <w:r>
        <w:t xml:space="preserve"> о расширении использования природного газа в качестве газомоторного топлива от 15 октября 2021 г. N 1089-с.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На территории Республики Татарстан действует разветвленная сеть газопроводов высокого, среднего и низкого давления. При этом существующая сеть АГНК</w:t>
      </w:r>
      <w:r>
        <w:t>С не позволяет организовать транспортные маршруты для газомоторной техники на КПГ по всей территории республики. Для решения данной проблемы предусмотрено строительство АГНКС, КриоАЗС и реконструкция существующих АЗС с установкой блоков по заправке КПГ и С</w:t>
      </w:r>
      <w:r>
        <w:t>ПГ.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По итогам 2021 года в Республике Татарстан эксплуатируется 37 действующих АГНКС различного типа: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Средневолжский филиал общества с ограниченной ответственностью "Газпром газомоторное топливо" - 25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общество с ограниченной ответственностью "Атлант"</w:t>
      </w:r>
      <w:r>
        <w:t xml:space="preserve"> - 3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общество с ограниченной ответственностью "Татнефть АЗС - Центр" - 2 многотопливные АЗС с блоком КПГ;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общество с ограниченной ответственностью "РариТЭК Технологии" - 2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общество с ограниченной ответственностью "Газпром Трансгаз Казань" - 1</w:t>
      </w:r>
      <w:r>
        <w:t xml:space="preserve"> ведомственная АГНКС закрытого типа (п. Шемордан);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общество с ограниченной ответственностью "Каматранснефть" - 1 многотопливная АЗС с блоком КПГ;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общество с ограниченной ответственностью "Меркурий" - 1 многотопливная АЗС с блоком КПГ;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акционерное общество "Челны Хлеб" - 1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общество с ограниченной ответственностью "Мензелинск-Сервис" - 1 АГНКС.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Потребление КПГ в качестве моторного топлива в 2012 - 2021 годах:</w:t>
      </w:r>
    </w:p>
    <w:p w:rsidR="000B0349" w:rsidRDefault="000B034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7"/>
        <w:gridCol w:w="756"/>
        <w:gridCol w:w="850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0B0349">
        <w:tc>
          <w:tcPr>
            <w:tcW w:w="2407" w:type="dxa"/>
            <w:vAlign w:val="center"/>
          </w:tcPr>
          <w:p w:rsidR="000B0349" w:rsidRDefault="00EE651A">
            <w:pPr>
              <w:pStyle w:val="ConsPlusNormal0"/>
            </w:pPr>
            <w:r>
              <w:t>Год</w:t>
            </w:r>
          </w:p>
        </w:tc>
        <w:tc>
          <w:tcPr>
            <w:tcW w:w="756" w:type="dxa"/>
          </w:tcPr>
          <w:p w:rsidR="000B0349" w:rsidRDefault="00EE651A">
            <w:pPr>
              <w:pStyle w:val="ConsPlusNormal0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0B0349" w:rsidRDefault="00EE651A">
            <w:pPr>
              <w:pStyle w:val="ConsPlusNormal0"/>
              <w:jc w:val="center"/>
            </w:pPr>
            <w:r>
              <w:t>2013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2014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2015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2021</w:t>
            </w:r>
          </w:p>
        </w:tc>
      </w:tr>
      <w:tr w:rsidR="000B0349">
        <w:tc>
          <w:tcPr>
            <w:tcW w:w="2407" w:type="dxa"/>
            <w:vAlign w:val="center"/>
          </w:tcPr>
          <w:p w:rsidR="000B0349" w:rsidRDefault="00EE651A">
            <w:pPr>
              <w:pStyle w:val="ConsPlusNormal0"/>
              <w:jc w:val="both"/>
            </w:pPr>
            <w:r>
              <w:t>Потребление КПГ, млн куб. метров</w:t>
            </w:r>
          </w:p>
        </w:tc>
        <w:tc>
          <w:tcPr>
            <w:tcW w:w="756" w:type="dxa"/>
          </w:tcPr>
          <w:p w:rsidR="000B0349" w:rsidRDefault="00EE651A">
            <w:pPr>
              <w:pStyle w:val="ConsPlusNormal0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0B0349" w:rsidRDefault="00EE651A">
            <w:pPr>
              <w:pStyle w:val="ConsPlusNormal0"/>
              <w:jc w:val="center"/>
            </w:pPr>
            <w:r>
              <w:t>7,2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10,7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14,2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22,8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28,6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35,7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50,3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54,4</w:t>
            </w:r>
          </w:p>
        </w:tc>
        <w:tc>
          <w:tcPr>
            <w:tcW w:w="774" w:type="dxa"/>
          </w:tcPr>
          <w:p w:rsidR="000B0349" w:rsidRDefault="00EE651A">
            <w:pPr>
              <w:pStyle w:val="ConsPlusNormal0"/>
              <w:jc w:val="center"/>
            </w:pPr>
            <w:r>
              <w:t>67,4</w:t>
            </w: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Дальнейшее развитие рынка газомоторного топлива в Республике Татарстан до 2024 года обеспечит строительство и ввод в эксплуатацию не менее 40 АГНКС (за период 2019 - 2021 годов введено 15 АГНКС), не менее 12 КриоАЗС (за период 2019 - 2021 годов введены 2 К</w:t>
      </w:r>
      <w:r>
        <w:t>риоАЗС), не менее 10 реконструируемых существующих АЗС с установкой блоков по заправке КПГ и СПГ (за период 2019 - 2021 годов введены 4 блока КПГ на существующих многотопливных АЗС) в крупных населенных пунктах, промышленных центрах и на транспортных автом</w:t>
      </w:r>
      <w:r>
        <w:t>агистралях.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Стоимость строительства одной АГНКС мощностью 5,9 млн куб. метров в ценах 2018 года составляла 120,0 млн рублей.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lastRenderedPageBreak/>
        <w:t>В целях расширения существующей сети АГНКС в 2019 - 2021 годах было предусмотрено софинансирование из федерального бюджета и бюджет</w:t>
      </w:r>
      <w:r>
        <w:t>а Республики Татарстан на строительство и ввод в эксплуатацию одного объекта газозаправочной инфраструктуры в объеме 40,0 млн рублей, в настоящее время размер субсидии составляет 36,0 млн рублей, при условии соблюдения требований к объектам заправки трансп</w:t>
      </w:r>
      <w:r>
        <w:t xml:space="preserve">ортных средств КПГ, предусмотренных </w:t>
      </w:r>
      <w:hyperlink r:id="rId26" w:tooltip="Постановление Правительства РФ от 15.04.2014 N 321 (ред. от 21.03.2022) &quot;Об утверждении государственной программы Российской Федерации &quot;Развитие энергетики&quot; {КонсультантПлюс}">
        <w:r>
          <w:rPr>
            <w:color w:val="0000FF"/>
          </w:rPr>
          <w:t>приложением N 28</w:t>
        </w:r>
      </w:hyperlink>
      <w:r>
        <w:t xml:space="preserve"> к государственной программе Российской Федерации "Развитие энергетики", утвержденной постановлением Правительс</w:t>
      </w:r>
      <w:r>
        <w:t>тва Российской Федерации от 15 апреля 2014 г. N 321 "Об утверждении государственной программы Российской Федерации "Развитие энергетики". В рамках данной программы субсидированию подлежит строительство не менее 7 АГНКС в год.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На территории Республики Татар</w:t>
      </w:r>
      <w:r>
        <w:t>стан расположены 905 действующих объектов автозаправочной инфраструктуры, осуществляющих реализацию различного топлива на коммерческой основе, в том числе 37 АГНКС, 2 КриоАЗС (по данным на 31 декабря 2021 года). Реализация проектов по строительству КриоАЗС</w:t>
      </w:r>
      <w:r>
        <w:t xml:space="preserve"> осуществляется посредством государственной </w:t>
      </w:r>
      <w:hyperlink r:id="rId27" w:tooltip="Постановление КМ РТ от 04.12.2013 N 954 (ред. от 24.05.2021) &quot;Об утверждении Государственной программы &quot;Энергоресурсоэффективность в Республике Татарстан&quot; {КонсультантПлюс}">
        <w:r>
          <w:rPr>
            <w:color w:val="0000FF"/>
          </w:rPr>
          <w:t>программы</w:t>
        </w:r>
      </w:hyperlink>
      <w:r>
        <w:t xml:space="preserve"> Республики Татарстан "Энергоресурсоэффективность в Республике Татарстан", утвержденной постановлением К</w:t>
      </w:r>
      <w:r>
        <w:t>абинета Министров Республики Татарстан от 04.12.2013 N 954 "Об утверждении государственной программы "Энергоресурсоэффективность в Республике Татарстан".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Следует отметить, что с 2020 года кроме организаций ПАО "Газпром" на рынок газомоторного топлива респу</w:t>
      </w:r>
      <w:r>
        <w:t>блики пришли в том числе малые и средние предприятия, осуществляющие реализацию нефтепродуктов, на сегодняшний день природный газ (метан) реализуют такие компании, как ООО "Каматранснефть", ПАО "Татнефть" имени В.Д.Шашина, ООО "Магистраль".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2021 году ПАО</w:t>
      </w:r>
      <w:r>
        <w:t xml:space="preserve"> "Татнефть" имени В.Д.Шашина произведена реконструкция и введены в эксплуатацию 2 многотопливные АЗС с газовыми блоками КПГ: многотопливная АЗС N 8 в Пестречинском муниципальном районе и многотопливная АЗС N 403 в г. Нижнекамске. Компания продолжит реконст</w:t>
      </w:r>
      <w:r>
        <w:t>рукцию существующей сети АЗС с установкой блоков КПГ в 2022 - 2023 годах.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ООО "Меркурий" в Зеленодольском муниципальном районе реализовал проект по строительству блока КПГ на территории многотопливной АЗС ООО "Магистраль" (Осиновское сельское поселение, 78</w:t>
      </w:r>
      <w:r>
        <w:t>8 км федеральной трассы М-7 "Волга").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ООО "Каматранснефть" в 2020 году в Актанышском муниципальном районе реализовал проект по строительству блока КПГ на существующей многотопливной АЗС "Кама-ТрансНефть" (Старобайсаровское сельское поселение).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В 2022 году </w:t>
      </w:r>
      <w:r>
        <w:t>малые и средние предприятия автозаправочной инфраструктуры республики (ИП И.И.Баров, Агрофирма Иликом, ИП Т.К.Шарипов) продолжат работы по строительству АГНКС.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Кроме того, в республике ведется работа по строительству инфраструктуры под реализацию СПГ. На т</w:t>
      </w:r>
      <w:r>
        <w:t>ерритории республики эксплуатируется 2 КриоАЗС (ПАО "Новатэк" и ООО "Газпром СПГ Технологии") в г. Набережные Челны и на территории горнолыжного комплекса "Свияжские Холмы" в Верхнеуслонском муниципальном районе (по данным на 31 декабря 2021 года).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Парк те</w:t>
      </w:r>
      <w:r>
        <w:t>хники на СПГ в республике превысил 50 единиц (по данным на 31 декабря 2021 года). В 2022 году планируется ввод в эксплуатацию двух заводов по производству СПГ (в Тюлячинском и Высокогорском муниципальных районах) и строительство 7 КриоАЗС.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Для снабжения КП</w:t>
      </w:r>
      <w:r>
        <w:t>Г и СПГ предприятий автотранспортного и агропромышленного комплексов Республики Татарстан также планируется размещение передвижных автомобильных газовых заправщиков (далее - ПАГЗ).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целях заправки автотранспортной техники (в том числе транзитного автотран</w:t>
      </w:r>
      <w:r>
        <w:t>спорта) в Менделеевском муниципальном районе Республики Татарстан введен в эксплуатацию ПАГЗ. Данный проект был осуществлен в 2019 году. По итогам эксплуатации компанией ООО "РариТЭК Технологии" было принято решение о строительстве АГНКС в 2021 году, данны</w:t>
      </w:r>
      <w:r>
        <w:t>й проект успешно реализован.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ПАГЗ - это специальное транспортное средство, в состав которого входят аккумуляторы газа, газозаправочная колонка с коммерческим учетом газа, система автоматического управления заправкой автотехники и дожимная станция для ускор</w:t>
      </w:r>
      <w:r>
        <w:t xml:space="preserve">енной заправки. ПАГЗ предназначен для заправки природным </w:t>
      </w:r>
      <w:r>
        <w:lastRenderedPageBreak/>
        <w:t>газом транспортных средств, работающих на удалении от стационарных АГНКС.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2. Основная цель и задачи Программы</w:t>
      </w:r>
    </w:p>
    <w:p w:rsidR="000B0349" w:rsidRDefault="00EE651A">
      <w:pPr>
        <w:pStyle w:val="ConsPlusTitle0"/>
        <w:jc w:val="center"/>
      </w:pPr>
      <w:r>
        <w:t>с указанием сроков и этапов реализации</w:t>
      </w:r>
    </w:p>
    <w:p w:rsidR="000B0349" w:rsidRDefault="00EE651A">
      <w:pPr>
        <w:pStyle w:val="ConsPlusNormal0"/>
        <w:jc w:val="center"/>
      </w:pPr>
      <w:r>
        <w:t xml:space="preserve">(в ред. </w:t>
      </w:r>
      <w:hyperlink r:id="rId28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<w:r>
          <w:rPr>
            <w:color w:val="0000FF"/>
          </w:rPr>
          <w:t>Постановления</w:t>
        </w:r>
      </w:hyperlink>
      <w:r>
        <w:t xml:space="preserve"> КМ РТ от 22.04.2022 N 385)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Целью Программы является стимулирование перевода и приобретения тран</w:t>
      </w:r>
      <w:r>
        <w:t>спортных средств, работающих на КПГ, путем расширения существующей в республике газозаправочной инфраструктуры, в том числе с учетом наличия на многотопливных АЗС с блоками КПГ и АГНКС зарядных колонок (станций) для транспортных средств с электродвигателям</w:t>
      </w:r>
      <w:r>
        <w:t>и.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ходе реализации Программы предусмотрено решение следующей задачи: строительство и ввод в эксплуатацию новых АГНКС и блоков КПГ на многотопливных АЗС, в том числе с учетом наличия на заправках зарядных колонок (станций) для транспортных средств с элект</w:t>
      </w:r>
      <w:r>
        <w:t>родвигателями.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Программа реализуется в пять этапов.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I этап - 2019 год.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Мероприятия этапа включают: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согласование и отвод земельных участков для строительства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определение источников ресурсного обеспечения;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строительство и ввод в эксплуатацию 2 АГНКС.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II этап - 2020 год.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Мероприятия этапа включают: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согласование и отвод земельных участков для строительства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строительство и ввод в эксплуатацию 6 АГНКС, установка блока по заправке КПГ на существующей 1 многотопливной АЗС.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III этап - 2021 год.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Меропри</w:t>
      </w:r>
      <w:r>
        <w:t>ятия этапа включают: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согласование и отвод земельных участков для строительства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строительство и ввод в эксплуатацию 7 АГНКС, реконструкция существующих 3 АЗС с установкой блоков по заправке КПГ.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IV этап - 2022 год.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Мероприятия этапа включают: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согласо</w:t>
      </w:r>
      <w:r>
        <w:t>вание и отвод земельных участков для строительства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строительство и ввод в эксплуатацию 7 АГНКС.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V этап - 2023 - 2024 годы.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Мероприятия этапа включают: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согласование и отвод земельных участков для строительства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строительство и ввод в эксплуатацию 7 АГНКС.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Приоритетным программным мероприятием является согласование и отвод земельных участков для </w:t>
      </w:r>
      <w:r>
        <w:lastRenderedPageBreak/>
        <w:t>строительства АГНКС в крупных населенных пунктах, промышленных центрах и вблизи транспортных автомагистралей.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Критерии в</w:t>
      </w:r>
      <w:r>
        <w:t>ыбора земельных участков под строительство АГНКС: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соответствие рекомендациям общества с ограниченной ответственностью "Газпром газомоторное топливо" (директива от 11.04.2016) и других крупных нефтепродуктообеспечивающих компаний, специализирующихся на стро</w:t>
      </w:r>
      <w:r>
        <w:t>ительстве газовых модулей на существующих многотопливных АЗС, в части необходимых параметров земельных участков для размещения АГНКС;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близость расположения к крупным городам и промышленным центрам, предприятиям автотранспортного и агропромышленного комплек</w:t>
      </w:r>
      <w:r>
        <w:t>сов;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близость расположения к автотранспортным магистралям федерального и республиканского значения;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близость расположения к инженерным сетям газо-, водо- и электроснабжения и возможность подключения к ним.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Расстояние от нового объекта строительства (АГНКС)</w:t>
      </w:r>
      <w:r>
        <w:t xml:space="preserve"> до существующей действующей АГНКС вдоль существующих дорог должно быть: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не менее 15 км вдоль одной стороны автомобильной дороги федерального значения;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не менее 10 км вдоль одной стороны автомобильной дороги регионального значения;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населенном пункте не менее 3 км вдоль одной стороны автомобильной дороги.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 соответствии с данными критериями Министерством промышленности и торговли Республики Татарстан разработана оптимальная схема размещения существующих и перспективных объектов запр</w:t>
      </w:r>
      <w:r>
        <w:t>авочной инфраструктуры КПГ на территории Республики Татарстан (</w:t>
      </w:r>
      <w:hyperlink w:anchor="P586" w:tooltip="Схема">
        <w:r>
          <w:rPr>
            <w:color w:val="0000FF"/>
          </w:rPr>
          <w:t>приложение N 2</w:t>
        </w:r>
      </w:hyperlink>
      <w:r>
        <w:t xml:space="preserve"> к Программе).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3. Объемы и источники финансирования Программы</w:t>
      </w:r>
    </w:p>
    <w:p w:rsidR="000B0349" w:rsidRDefault="00EE651A">
      <w:pPr>
        <w:pStyle w:val="ConsPlusNormal0"/>
        <w:jc w:val="center"/>
      </w:pPr>
      <w:r>
        <w:t xml:space="preserve">(в ред. </w:t>
      </w:r>
      <w:hyperlink r:id="rId29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<w:r>
          <w:rPr>
            <w:color w:val="0000FF"/>
          </w:rPr>
          <w:t>Постановления</w:t>
        </w:r>
      </w:hyperlink>
      <w:r>
        <w:t xml:space="preserve"> КМ РТ от 22.04.2022 N 385)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 xml:space="preserve">Общий объем финансирования Программы по строительству и вводу в эксплуатацию 40 АГНКС составляет </w:t>
      </w:r>
      <w:r>
        <w:t>4 800,0 млн рублей, в том числе: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средства, выделяемые из бюджета Республики Татарстан, - 633,84 млн рублей;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средства федерального бюджета - 842,16 млн рублей;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средства из внебюджетных источников - 3 324,0 млн рублей.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right"/>
      </w:pPr>
      <w:r>
        <w:t>(млн рублей)</w:t>
      </w:r>
    </w:p>
    <w:p w:rsidR="000B0349" w:rsidRDefault="000B034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2187"/>
        <w:gridCol w:w="1757"/>
        <w:gridCol w:w="2074"/>
      </w:tblGrid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Всего средств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Средст</w:t>
            </w:r>
            <w:r>
              <w:t>ва бюджета Республики Татарстан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Средства федерального бюджета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Средства из внебюджетных источников</w:t>
            </w:r>
          </w:p>
        </w:tc>
      </w:tr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240,0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160,0</w:t>
            </w:r>
          </w:p>
        </w:tc>
      </w:tr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117,6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162,4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560,0</w:t>
            </w:r>
          </w:p>
        </w:tc>
      </w:tr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1 200,0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213,84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146,16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</w:tr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lastRenderedPageBreak/>
              <w:t>2024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  <w:tr w:rsidR="000B0349">
        <w:tc>
          <w:tcPr>
            <w:tcW w:w="1247" w:type="dxa"/>
          </w:tcPr>
          <w:p w:rsidR="000B0349" w:rsidRDefault="00EE651A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B0349" w:rsidRDefault="00EE651A">
            <w:pPr>
              <w:pStyle w:val="ConsPlusNormal0"/>
              <w:jc w:val="center"/>
            </w:pPr>
            <w:r>
              <w:t>4 800,0</w:t>
            </w:r>
          </w:p>
        </w:tc>
        <w:tc>
          <w:tcPr>
            <w:tcW w:w="2187" w:type="dxa"/>
          </w:tcPr>
          <w:p w:rsidR="000B0349" w:rsidRDefault="00EE651A">
            <w:pPr>
              <w:pStyle w:val="ConsPlusNormal0"/>
              <w:jc w:val="center"/>
            </w:pPr>
            <w:r>
              <w:t>633,84</w:t>
            </w:r>
          </w:p>
        </w:tc>
        <w:tc>
          <w:tcPr>
            <w:tcW w:w="1757" w:type="dxa"/>
          </w:tcPr>
          <w:p w:rsidR="000B0349" w:rsidRDefault="00EE651A">
            <w:pPr>
              <w:pStyle w:val="ConsPlusNormal0"/>
              <w:jc w:val="center"/>
            </w:pPr>
            <w:r>
              <w:t>842,16</w:t>
            </w:r>
          </w:p>
        </w:tc>
        <w:tc>
          <w:tcPr>
            <w:tcW w:w="2074" w:type="dxa"/>
          </w:tcPr>
          <w:p w:rsidR="000B0349" w:rsidRDefault="00EE651A">
            <w:pPr>
              <w:pStyle w:val="ConsPlusNormal0"/>
              <w:jc w:val="center"/>
            </w:pPr>
            <w:r>
              <w:t>3 324,0</w:t>
            </w: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4. Механизм реализации Программы</w:t>
      </w:r>
    </w:p>
    <w:p w:rsidR="000B0349" w:rsidRDefault="00EE651A">
      <w:pPr>
        <w:pStyle w:val="ConsPlusTitle0"/>
        <w:jc w:val="center"/>
      </w:pPr>
      <w:r>
        <w:t>и контроль за ее выполнением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Управление реализацией Программы осуществляет Министерство промышленности и торговли Республики Татарстан - государственный заказчик Программы.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Инвесторы, участвующие в реализации Программы, ежеквартально, до 10 числа месяца, следующего за отчетным периодом, представляют информацию о реализации проектов по строительству АГНКС в Министерство промышленности и торговли Республики Татарстан.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Министерс</w:t>
      </w:r>
      <w:r>
        <w:t>тво промышленности и торговли Республики Татарстан ежеквартально, до 25 числа месяца, следующего за отчетным периодом, формирует сводную аналитическую информацию о ходе реализации Программы по установленной форме.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Министерство промышленности и торговли Рес</w:t>
      </w:r>
      <w:r>
        <w:t>публики Татарстан направляет в Министерство экономики Республики Татарстан и Министерство финансов Республики Татарстан информацию о заключенных договорах, справочно-аналитические материалы по исполнению Программы.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Реализация мероприятий Программы предусма</w:t>
      </w:r>
      <w:r>
        <w:t>тривает применение механизмов субсидирования за счет средств федерального бюджета, бюджета Республики Татарстан.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5. Оценка экономической, социальной и экологической</w:t>
      </w:r>
    </w:p>
    <w:p w:rsidR="000B0349" w:rsidRDefault="00EE651A">
      <w:pPr>
        <w:pStyle w:val="ConsPlusTitle0"/>
        <w:jc w:val="center"/>
      </w:pPr>
      <w:r>
        <w:t>эффективности и рисков Программы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Эффективность реализации мероприятий Программы заключает</w:t>
      </w:r>
      <w:r>
        <w:t>ся в: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снижении уровня загрязнения окружающей среды вредными выбросами от автотранспортных средств. Основные экологические показатели представлены в государственной </w:t>
      </w:r>
      <w:hyperlink r:id="rId30" w:tooltip="Постановление КМ РТ от 26.04.2013 N 283 (ред. от 02.07.2019) &quot;Об утверждении Государственной программы Республики Татарстан &quot;Развитие рынка газомоторного топлива в Республике Татарстан на 2013 - 2023 годы&quot; {КонсультантПлюс}">
        <w:r>
          <w:rPr>
            <w:color w:val="0000FF"/>
          </w:rPr>
          <w:t>программе</w:t>
        </w:r>
      </w:hyperlink>
      <w:r>
        <w:t xml:space="preserve"> Республики Татарстан "Развитие рынка газомоторного топлива в Республике Татарстан на 2013 - 2023 годы", утвержденной постановлением Кабинета Министров Республики Татарстан от 26.04.2013 N </w:t>
      </w:r>
      <w:r>
        <w:t>283;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создании дополнительных рабочих мест;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развитии сопутствующих отраслей, связанных с развитием рынка газомоторного топлива;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увеличении в республике количества транспортных средств, работающих на КПГ;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снижении эксплуатационных издержек за счет короткого </w:t>
      </w:r>
      <w:r>
        <w:t>срока окупаемости стоимости газобаллонного оборудования и его установки, уменьшения износа двигателя, увеличения межремонтного пробега двигателя в 1,5 раза.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Мониторинг эффективности реализации Программы осуществляется на основе оценок: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степени достижения ц</w:t>
      </w:r>
      <w:r>
        <w:t>елей и решения задач Программы путем сопоставления фактически достигнутых значений индикаторов Программы и их плановых значений;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степени соответствия фактических и запланированных затрат и эффективности использования средств федерального бюджета, бюджета Р</w:t>
      </w:r>
      <w:r>
        <w:t>еспублики Татарстан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по каждому источнику ресурсного обеспечения.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 xml:space="preserve">Риски при реализации мероприятий Программы </w:t>
      </w:r>
      <w:r>
        <w:t>и мероприятия по их минимизации представлены в таблице 3.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right"/>
        <w:outlineLvl w:val="2"/>
      </w:pPr>
      <w:r>
        <w:t>Таблица 3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</w:pPr>
      <w:r>
        <w:lastRenderedPageBreak/>
        <w:t>Возможные риски при реализации Программы</w:t>
      </w:r>
    </w:p>
    <w:p w:rsidR="000B0349" w:rsidRDefault="00EE651A">
      <w:pPr>
        <w:pStyle w:val="ConsPlusTitle0"/>
        <w:jc w:val="center"/>
      </w:pPr>
      <w:r>
        <w:t>и мероприятия по их минимизации</w:t>
      </w:r>
    </w:p>
    <w:p w:rsidR="000B0349" w:rsidRDefault="000B034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3345"/>
        <w:gridCol w:w="3402"/>
      </w:tblGrid>
      <w:tr w:rsidR="000B0349">
        <w:tc>
          <w:tcPr>
            <w:tcW w:w="2227" w:type="dxa"/>
          </w:tcPr>
          <w:p w:rsidR="000B0349" w:rsidRDefault="00EE651A">
            <w:pPr>
              <w:pStyle w:val="ConsPlusNormal0"/>
              <w:jc w:val="center"/>
            </w:pPr>
            <w:r>
              <w:t>Наименование риска</w:t>
            </w:r>
          </w:p>
        </w:tc>
        <w:tc>
          <w:tcPr>
            <w:tcW w:w="3345" w:type="dxa"/>
          </w:tcPr>
          <w:p w:rsidR="000B0349" w:rsidRDefault="00EE651A">
            <w:pPr>
              <w:pStyle w:val="ConsPlusNormal0"/>
              <w:jc w:val="center"/>
            </w:pPr>
            <w:r>
              <w:t>Анализ причин возникновения</w:t>
            </w:r>
          </w:p>
        </w:tc>
        <w:tc>
          <w:tcPr>
            <w:tcW w:w="3402" w:type="dxa"/>
          </w:tcPr>
          <w:p w:rsidR="000B0349" w:rsidRDefault="00EE651A">
            <w:pPr>
              <w:pStyle w:val="ConsPlusNormal0"/>
              <w:jc w:val="center"/>
            </w:pPr>
            <w:r>
              <w:t>Механизмы минимизации</w:t>
            </w:r>
          </w:p>
        </w:tc>
      </w:tr>
      <w:tr w:rsidR="000B0349">
        <w:tc>
          <w:tcPr>
            <w:tcW w:w="2227" w:type="dxa"/>
          </w:tcPr>
          <w:p w:rsidR="000B0349" w:rsidRDefault="00EE651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B0349" w:rsidRDefault="00EE651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B0349" w:rsidRDefault="00EE651A">
            <w:pPr>
              <w:pStyle w:val="ConsPlusNormal0"/>
              <w:jc w:val="center"/>
            </w:pPr>
            <w:r>
              <w:t>3</w:t>
            </w:r>
          </w:p>
        </w:tc>
      </w:tr>
      <w:tr w:rsidR="000B0349">
        <w:tc>
          <w:tcPr>
            <w:tcW w:w="2227" w:type="dxa"/>
          </w:tcPr>
          <w:p w:rsidR="000B0349" w:rsidRDefault="00EE651A">
            <w:pPr>
              <w:pStyle w:val="ConsPlusNormal0"/>
            </w:pPr>
            <w:r>
              <w:t>Управленческие риски</w:t>
            </w:r>
          </w:p>
        </w:tc>
        <w:tc>
          <w:tcPr>
            <w:tcW w:w="3345" w:type="dxa"/>
          </w:tcPr>
          <w:p w:rsidR="000B0349" w:rsidRDefault="00EE651A">
            <w:pPr>
              <w:pStyle w:val="ConsPlusNormal0"/>
              <w:jc w:val="both"/>
            </w:pPr>
            <w:r>
              <w:t>Возникновение рисков связано с нарушением договорных обязательств подрядчиками, поставщиками</w:t>
            </w:r>
          </w:p>
        </w:tc>
        <w:tc>
          <w:tcPr>
            <w:tcW w:w="3402" w:type="dxa"/>
          </w:tcPr>
          <w:p w:rsidR="000B0349" w:rsidRDefault="00EE651A">
            <w:pPr>
              <w:pStyle w:val="ConsPlusNormal0"/>
              <w:jc w:val="both"/>
            </w:pPr>
            <w:r>
              <w:t>Реализацию программных мероприятий за счет собственных средств будут осуществлять организации, обладающие опытом функционирования в профильной отрасли</w:t>
            </w:r>
          </w:p>
        </w:tc>
      </w:tr>
      <w:tr w:rsidR="000B0349">
        <w:tc>
          <w:tcPr>
            <w:tcW w:w="2227" w:type="dxa"/>
          </w:tcPr>
          <w:p w:rsidR="000B0349" w:rsidRDefault="00EE651A">
            <w:pPr>
              <w:pStyle w:val="ConsPlusNormal0"/>
            </w:pPr>
            <w:r>
              <w:t>Риски реали</w:t>
            </w:r>
            <w:r>
              <w:t>зации</w:t>
            </w:r>
          </w:p>
        </w:tc>
        <w:tc>
          <w:tcPr>
            <w:tcW w:w="3345" w:type="dxa"/>
          </w:tcPr>
          <w:p w:rsidR="000B0349" w:rsidRDefault="00EE651A">
            <w:pPr>
              <w:pStyle w:val="ConsPlusNormal0"/>
              <w:jc w:val="both"/>
            </w:pPr>
            <w:r>
              <w:t>К рискам реализации проекта относятся ошибки при проектировании, неспособность участников проекта обеспечить эффективное использование ресурсов, изменение внешних условий (повышение цен, увеличение налоговых ставок)</w:t>
            </w:r>
          </w:p>
        </w:tc>
        <w:tc>
          <w:tcPr>
            <w:tcW w:w="3402" w:type="dxa"/>
          </w:tcPr>
          <w:p w:rsidR="000B0349" w:rsidRDefault="00EE651A">
            <w:pPr>
              <w:pStyle w:val="ConsPlusNormal0"/>
              <w:jc w:val="both"/>
            </w:pPr>
            <w:r>
              <w:t>С целью обеспечения успешной реали</w:t>
            </w:r>
            <w:r>
              <w:t>зации и соблюдения условий эффективного и целевого использования бюджетных средств в механизме реализации Программы предусмотрен регулярный мониторинг реализации мероприятий</w:t>
            </w:r>
          </w:p>
        </w:tc>
      </w:tr>
      <w:tr w:rsidR="000B0349">
        <w:tc>
          <w:tcPr>
            <w:tcW w:w="2227" w:type="dxa"/>
          </w:tcPr>
          <w:p w:rsidR="000B0349" w:rsidRDefault="00EE651A">
            <w:pPr>
              <w:pStyle w:val="ConsPlusNormal0"/>
            </w:pPr>
            <w:r>
              <w:t>Финансовые риски</w:t>
            </w:r>
          </w:p>
        </w:tc>
        <w:tc>
          <w:tcPr>
            <w:tcW w:w="3345" w:type="dxa"/>
          </w:tcPr>
          <w:p w:rsidR="000B0349" w:rsidRDefault="00EE651A">
            <w:pPr>
              <w:pStyle w:val="ConsPlusNormal0"/>
              <w:jc w:val="both"/>
            </w:pPr>
            <w:r>
              <w:t>Возникновению финансовых рисков способствуют инфляция, колебание валютных курсов, рост стоимости ресурсов на рынке капитала, что повлечет увеличение сроков строительства и реконструкции объектов и невыполнение мероприятий в запланированные сроки</w:t>
            </w:r>
          </w:p>
        </w:tc>
        <w:tc>
          <w:tcPr>
            <w:tcW w:w="3402" w:type="dxa"/>
          </w:tcPr>
          <w:p w:rsidR="000B0349" w:rsidRDefault="00EE651A">
            <w:pPr>
              <w:pStyle w:val="ConsPlusNormal0"/>
              <w:jc w:val="both"/>
            </w:pPr>
            <w:r>
              <w:t>К реализац</w:t>
            </w:r>
            <w:r>
              <w:t>ии проекта будут привлечены организации, имеющие опыт в профильной сфере</w:t>
            </w:r>
          </w:p>
        </w:tc>
      </w:tr>
      <w:tr w:rsidR="000B0349">
        <w:tc>
          <w:tcPr>
            <w:tcW w:w="2227" w:type="dxa"/>
          </w:tcPr>
          <w:p w:rsidR="000B0349" w:rsidRDefault="00EE651A">
            <w:pPr>
              <w:pStyle w:val="ConsPlusNormal0"/>
            </w:pPr>
            <w:r>
              <w:t>Законодательные риски</w:t>
            </w:r>
          </w:p>
        </w:tc>
        <w:tc>
          <w:tcPr>
            <w:tcW w:w="3345" w:type="dxa"/>
          </w:tcPr>
          <w:p w:rsidR="000B0349" w:rsidRDefault="00EE651A">
            <w:pPr>
              <w:pStyle w:val="ConsPlusNormal0"/>
              <w:jc w:val="both"/>
            </w:pPr>
            <w:r>
              <w:t>Возникновение законодательных рисков связано с изменениями в федеральном законодательстве</w:t>
            </w:r>
          </w:p>
        </w:tc>
        <w:tc>
          <w:tcPr>
            <w:tcW w:w="3402" w:type="dxa"/>
          </w:tcPr>
          <w:p w:rsidR="000B0349" w:rsidRDefault="00EE651A">
            <w:pPr>
              <w:pStyle w:val="ConsPlusNormal0"/>
              <w:jc w:val="both"/>
            </w:pPr>
            <w:r>
              <w:t>Отслеживание и своевременное внесение изменений в нормативные правовые</w:t>
            </w:r>
            <w:r>
              <w:t xml:space="preserve"> акты Республики Татарстан</w:t>
            </w: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6. Ожидаемые результаты от реализации мероприятий Программы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Ожидаемые результаты реализации мероприятий Программы представлены в таблице 4.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right"/>
        <w:outlineLvl w:val="2"/>
      </w:pPr>
      <w:r>
        <w:t>Таблица 4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</w:pPr>
      <w:r>
        <w:t>Ожидаемые результаты реализации Программы</w:t>
      </w:r>
    </w:p>
    <w:p w:rsidR="000B0349" w:rsidRDefault="00EE651A">
      <w:pPr>
        <w:pStyle w:val="ConsPlusNormal0"/>
        <w:jc w:val="center"/>
      </w:pPr>
      <w:r>
        <w:t xml:space="preserve">(в ред. </w:t>
      </w:r>
      <w:hyperlink r:id="rId31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<w:r>
          <w:rPr>
            <w:color w:val="0000FF"/>
          </w:rPr>
          <w:t>Постановления</w:t>
        </w:r>
      </w:hyperlink>
      <w:r>
        <w:t xml:space="preserve"> КМ РТ от 22.04.2022 N 385)</w:t>
      </w:r>
    </w:p>
    <w:p w:rsidR="000B0349" w:rsidRDefault="000B034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794"/>
        <w:gridCol w:w="794"/>
        <w:gridCol w:w="794"/>
        <w:gridCol w:w="794"/>
        <w:gridCol w:w="794"/>
        <w:gridCol w:w="794"/>
      </w:tblGrid>
      <w:tr w:rsidR="000B0349">
        <w:tc>
          <w:tcPr>
            <w:tcW w:w="4253" w:type="dxa"/>
          </w:tcPr>
          <w:p w:rsidR="000B0349" w:rsidRDefault="00EE651A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 xml:space="preserve">2019 </w:t>
            </w:r>
            <w:r>
              <w:t>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2024 год</w:t>
            </w:r>
          </w:p>
        </w:tc>
      </w:tr>
      <w:tr w:rsidR="000B0349">
        <w:tc>
          <w:tcPr>
            <w:tcW w:w="4253" w:type="dxa"/>
          </w:tcPr>
          <w:p w:rsidR="000B0349" w:rsidRDefault="00EE651A">
            <w:pPr>
              <w:pStyle w:val="ConsPlusNormal0"/>
              <w:jc w:val="both"/>
            </w:pPr>
            <w:r>
              <w:t>Количество новых АГНКС, в том числе с учетом наличия зарядных колонок (станций) для транспортных средств с электродвигателями (нарастающим итогом)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40</w:t>
            </w: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 xml:space="preserve">Реализация мероприятий Программы будет способствовать развитию экономики республики, повышению стабильности и долгосрочной инвестиционной привлекательности, улучшению экологической </w:t>
      </w:r>
      <w:r>
        <w:lastRenderedPageBreak/>
        <w:t>обстановки.</w:t>
      </w:r>
    </w:p>
    <w:p w:rsidR="000B0349" w:rsidRDefault="00EE651A">
      <w:pPr>
        <w:pStyle w:val="ConsPlusNormal0"/>
        <w:spacing w:before="200"/>
        <w:ind w:firstLine="540"/>
        <w:jc w:val="both"/>
      </w:pPr>
      <w:hyperlink w:anchor="P418" w:tooltip="ЦЕЛЬ, ЗАДАЧИ, ИНДИКАТОРЫ">
        <w:r>
          <w:rPr>
            <w:color w:val="0000FF"/>
          </w:rPr>
          <w:t>Индика</w:t>
        </w:r>
        <w:r>
          <w:rPr>
            <w:color w:val="0000FF"/>
          </w:rPr>
          <w:t>торы</w:t>
        </w:r>
      </w:hyperlink>
      <w:r>
        <w:t xml:space="preserve"> оценки результатов Программы приведены в приложении к ней.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1"/>
      </w:pPr>
      <w:r>
        <w:t>7. Расчет бюджетной эффективности Программы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Бюджетная эффективность программы для консолидированного бюджета складывается из налога на доходы физических лиц, единого социального налога и сос</w:t>
      </w:r>
      <w:r>
        <w:t>тавит за период реализации Программы около 41,0 млн рублей.</w:t>
      </w: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right"/>
        <w:outlineLvl w:val="1"/>
      </w:pPr>
      <w:r>
        <w:t>Приложение N 1</w:t>
      </w:r>
    </w:p>
    <w:p w:rsidR="000B0349" w:rsidRDefault="00EE651A">
      <w:pPr>
        <w:pStyle w:val="ConsPlusNormal0"/>
        <w:jc w:val="right"/>
      </w:pPr>
      <w:r>
        <w:t>к государственной программе</w:t>
      </w:r>
    </w:p>
    <w:p w:rsidR="000B0349" w:rsidRDefault="00EE651A">
      <w:pPr>
        <w:pStyle w:val="ConsPlusNormal0"/>
        <w:jc w:val="right"/>
      </w:pPr>
      <w:r>
        <w:t>Республики Татарстан "Строительство</w:t>
      </w:r>
    </w:p>
    <w:p w:rsidR="000B0349" w:rsidRDefault="00EE651A">
      <w:pPr>
        <w:pStyle w:val="ConsPlusNormal0"/>
        <w:jc w:val="right"/>
      </w:pPr>
      <w:r>
        <w:t>автомобильных газонаполнительных</w:t>
      </w:r>
    </w:p>
    <w:p w:rsidR="000B0349" w:rsidRDefault="00EE651A">
      <w:pPr>
        <w:pStyle w:val="ConsPlusNormal0"/>
        <w:jc w:val="right"/>
      </w:pPr>
      <w:r>
        <w:t>компрессорных станций</w:t>
      </w:r>
    </w:p>
    <w:p w:rsidR="000B0349" w:rsidRDefault="00EE651A">
      <w:pPr>
        <w:pStyle w:val="ConsPlusNormal0"/>
        <w:jc w:val="right"/>
      </w:pPr>
      <w:r>
        <w:t>на территории Республики Татарстан</w:t>
      </w:r>
    </w:p>
    <w:p w:rsidR="000B0349" w:rsidRDefault="00EE651A">
      <w:pPr>
        <w:pStyle w:val="ConsPlusNormal0"/>
        <w:jc w:val="right"/>
      </w:pPr>
      <w:r>
        <w:t>на 2019 - 2024 годы"</w:t>
      </w: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</w:pPr>
      <w:bookmarkStart w:id="3" w:name="P418"/>
      <w:bookmarkEnd w:id="3"/>
      <w:r>
        <w:t>ЦЕЛЬ, ЗАДАЧИ, ИНДИКАТОРЫ</w:t>
      </w:r>
    </w:p>
    <w:p w:rsidR="000B0349" w:rsidRDefault="00EE651A">
      <w:pPr>
        <w:pStyle w:val="ConsPlusTitle0"/>
        <w:jc w:val="center"/>
      </w:pPr>
      <w:r>
        <w:t>ОЦЕНКИ РЕЗУЛЬТАТОВ, ОБЪЕМЫ ФИНАНСИРОВАНИЯ ГОСУДАРСТВЕННОЙ</w:t>
      </w:r>
    </w:p>
    <w:p w:rsidR="000B0349" w:rsidRDefault="00EE651A">
      <w:pPr>
        <w:pStyle w:val="ConsPlusTitle0"/>
        <w:jc w:val="center"/>
      </w:pPr>
      <w:r>
        <w:t>ПРОГРАММЫ РЕСПУБЛИКИ ТАТАРСТАН "СТРОИТЕЛЬСТВО АВТОМОБИЛЬНЫХ</w:t>
      </w:r>
    </w:p>
    <w:p w:rsidR="000B0349" w:rsidRDefault="00EE651A">
      <w:pPr>
        <w:pStyle w:val="ConsPlusTitle0"/>
        <w:jc w:val="center"/>
      </w:pPr>
      <w:r>
        <w:t>ГАЗОНАПОЛНИТЕЛЬНЫХ КОМПРЕССОРНЫХ СТАНЦИЙ НА ТЕРРИТОРИИ</w:t>
      </w:r>
    </w:p>
    <w:p w:rsidR="000B0349" w:rsidRDefault="00EE651A">
      <w:pPr>
        <w:pStyle w:val="ConsPlusTitle0"/>
        <w:jc w:val="center"/>
      </w:pPr>
      <w:r>
        <w:t>РЕСПУБЛИКИ ТАТАРСТАН НА 2019 - 2024 ГОДЫ"</w:t>
      </w:r>
    </w:p>
    <w:p w:rsidR="000B0349" w:rsidRDefault="000B034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</w:t>
            </w:r>
            <w:r>
              <w:rPr>
                <w:color w:val="392C69"/>
              </w:rPr>
              <w:t>ющих документов</w:t>
            </w:r>
          </w:p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22.04.2022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</w:tr>
    </w:tbl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sectPr w:rsidR="000B0349" w:rsidSect="00653D0D">
          <w:footerReference w:type="default" r:id="rId33"/>
          <w:headerReference w:type="first" r:id="rId34"/>
          <w:footerReference w:type="first" r:id="rId35"/>
          <w:pgSz w:w="11906" w:h="16838"/>
          <w:pgMar w:top="1440" w:right="566" w:bottom="1440" w:left="1133" w:header="993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2168"/>
        <w:gridCol w:w="2047"/>
        <w:gridCol w:w="616"/>
        <w:gridCol w:w="616"/>
        <w:gridCol w:w="616"/>
        <w:gridCol w:w="616"/>
        <w:gridCol w:w="616"/>
        <w:gridCol w:w="616"/>
        <w:gridCol w:w="1648"/>
        <w:gridCol w:w="794"/>
        <w:gridCol w:w="794"/>
        <w:gridCol w:w="964"/>
        <w:gridCol w:w="794"/>
        <w:gridCol w:w="737"/>
        <w:gridCol w:w="794"/>
      </w:tblGrid>
      <w:tr w:rsidR="000B0349">
        <w:tc>
          <w:tcPr>
            <w:tcW w:w="1482" w:type="dxa"/>
            <w:vMerge w:val="restart"/>
          </w:tcPr>
          <w:p w:rsidR="000B0349" w:rsidRDefault="00EE651A">
            <w:pPr>
              <w:pStyle w:val="ConsPlusNormal0"/>
              <w:jc w:val="center"/>
            </w:pPr>
            <w:r>
              <w:lastRenderedPageBreak/>
              <w:t>Наименование основного мероприятия</w:t>
            </w:r>
          </w:p>
        </w:tc>
        <w:tc>
          <w:tcPr>
            <w:tcW w:w="2168" w:type="dxa"/>
            <w:vMerge w:val="restart"/>
          </w:tcPr>
          <w:p w:rsidR="000B0349" w:rsidRDefault="00EE651A">
            <w:pPr>
              <w:pStyle w:val="ConsPlusNormal0"/>
              <w:jc w:val="center"/>
            </w:pPr>
            <w:r>
              <w:t>Ответственные исполнители</w:t>
            </w:r>
          </w:p>
        </w:tc>
        <w:tc>
          <w:tcPr>
            <w:tcW w:w="2047" w:type="dxa"/>
            <w:vMerge w:val="restart"/>
          </w:tcPr>
          <w:p w:rsidR="000B0349" w:rsidRDefault="00EE651A">
            <w:pPr>
              <w:pStyle w:val="ConsPlusNormal0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3696" w:type="dxa"/>
            <w:gridSpan w:val="6"/>
          </w:tcPr>
          <w:p w:rsidR="000B0349" w:rsidRDefault="00EE651A">
            <w:pPr>
              <w:pStyle w:val="ConsPlusNormal0"/>
              <w:jc w:val="center"/>
            </w:pPr>
            <w:r>
              <w:t>Значения индикаторов</w:t>
            </w:r>
          </w:p>
        </w:tc>
        <w:tc>
          <w:tcPr>
            <w:tcW w:w="1648" w:type="dxa"/>
            <w:vMerge w:val="restart"/>
          </w:tcPr>
          <w:p w:rsidR="000B0349" w:rsidRDefault="00EE651A">
            <w:pPr>
              <w:pStyle w:val="ConsPlusNormal0"/>
              <w:jc w:val="center"/>
            </w:pPr>
            <w:r>
              <w:t>Источник финансирования</w:t>
            </w:r>
          </w:p>
        </w:tc>
        <w:tc>
          <w:tcPr>
            <w:tcW w:w="4877" w:type="dxa"/>
            <w:gridSpan w:val="6"/>
          </w:tcPr>
          <w:p w:rsidR="000B0349" w:rsidRDefault="00EE651A">
            <w:pPr>
              <w:pStyle w:val="ConsPlusNormal0"/>
              <w:jc w:val="center"/>
            </w:pPr>
            <w:r>
              <w:t>Финансирование, млн рублей</w:t>
            </w:r>
          </w:p>
        </w:tc>
      </w:tr>
      <w:tr w:rsidR="000B0349">
        <w:tc>
          <w:tcPr>
            <w:tcW w:w="1482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21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2047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64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96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737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2024 год</w:t>
            </w:r>
          </w:p>
        </w:tc>
      </w:tr>
      <w:tr w:rsidR="000B0349">
        <w:tc>
          <w:tcPr>
            <w:tcW w:w="1482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68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47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16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648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t>16</w:t>
            </w:r>
          </w:p>
        </w:tc>
      </w:tr>
      <w:tr w:rsidR="000B0349">
        <w:tc>
          <w:tcPr>
            <w:tcW w:w="15918" w:type="dxa"/>
            <w:gridSpan w:val="16"/>
            <w:vAlign w:val="center"/>
          </w:tcPr>
          <w:p w:rsidR="000B0349" w:rsidRDefault="00EE651A">
            <w:pPr>
              <w:pStyle w:val="ConsPlusNormal0"/>
              <w:jc w:val="both"/>
            </w:pPr>
            <w:r>
              <w:t xml:space="preserve">Цель: Стимулирование перевода и приобретения автомобильной техники, работающей на КПГ </w:t>
            </w:r>
            <w:hyperlink w:anchor="P560" w:tooltip="&lt;*&gt; Список использованных сокращений:">
              <w:r>
                <w:rPr>
                  <w:color w:val="0000FF"/>
                </w:rPr>
                <w:t>&lt;*&gt;</w:t>
              </w:r>
            </w:hyperlink>
            <w:r>
              <w:t>, путем расширения существующей в республике газозаправочной инфраструктуры с учетом наличия на заправках зарядных колонок (станций) для транспортных средств с электродвигателями</w:t>
            </w:r>
          </w:p>
        </w:tc>
      </w:tr>
      <w:tr w:rsidR="000B0349">
        <w:tc>
          <w:tcPr>
            <w:tcW w:w="15918" w:type="dxa"/>
            <w:gridSpan w:val="16"/>
            <w:vAlign w:val="center"/>
          </w:tcPr>
          <w:p w:rsidR="000B0349" w:rsidRDefault="00EE651A">
            <w:pPr>
              <w:pStyle w:val="ConsPlusNormal0"/>
              <w:jc w:val="both"/>
            </w:pPr>
            <w:r>
              <w:t xml:space="preserve">Задача: Строительство и ввод в эксплуатацию новых АГНКС с зарядными колонками (станциями) для транспортных средств с электродвигателями </w:t>
            </w:r>
            <w:hyperlink w:anchor="P560" w:tooltip="&lt;*&gt; Список использованных сокращений:">
              <w:r>
                <w:rPr>
                  <w:color w:val="0000FF"/>
                </w:rPr>
                <w:t>&lt;*&gt;</w:t>
              </w:r>
            </w:hyperlink>
          </w:p>
        </w:tc>
      </w:tr>
      <w:tr w:rsidR="000B0349">
        <w:tc>
          <w:tcPr>
            <w:tcW w:w="1482" w:type="dxa"/>
          </w:tcPr>
          <w:p w:rsidR="000B0349" w:rsidRDefault="00EE651A">
            <w:pPr>
              <w:pStyle w:val="ConsPlusNormal0"/>
              <w:jc w:val="both"/>
            </w:pPr>
            <w:r>
              <w:t>Строительство и ввод в эксплуатацию АГНКС</w:t>
            </w:r>
          </w:p>
        </w:tc>
        <w:tc>
          <w:tcPr>
            <w:tcW w:w="2168" w:type="dxa"/>
          </w:tcPr>
          <w:p w:rsidR="000B0349" w:rsidRDefault="00EE651A">
            <w:pPr>
              <w:pStyle w:val="ConsPlusNormal0"/>
              <w:jc w:val="both"/>
            </w:pPr>
            <w:r>
              <w:t>Сре</w:t>
            </w:r>
            <w:r>
              <w:t>дневолжский филиал ООО "Газпром газомоторное топливо" (по согласованию), независимые АЗС (по согласованию), ПАО "Татнефть" (по согласованию), МПиТ РТ, МО РТ, организации (по согласованию)</w:t>
            </w:r>
          </w:p>
        </w:tc>
        <w:tc>
          <w:tcPr>
            <w:tcW w:w="2047" w:type="dxa"/>
          </w:tcPr>
          <w:p w:rsidR="000B0349" w:rsidRDefault="00EE651A">
            <w:pPr>
              <w:pStyle w:val="ConsPlusNormal0"/>
              <w:jc w:val="both"/>
            </w:pPr>
            <w:r>
              <w:t>Количество новых АГНКС, в том числе с учетом наличия зарядных колоно</w:t>
            </w:r>
            <w:r>
              <w:t>к (станций) для транспортных средств с электродвигателями (нарастающим итогом)</w:t>
            </w:r>
          </w:p>
        </w:tc>
        <w:tc>
          <w:tcPr>
            <w:tcW w:w="616" w:type="dxa"/>
          </w:tcPr>
          <w:p w:rsidR="000B0349" w:rsidRDefault="00EE651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0B0349" w:rsidRDefault="00EE651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16" w:type="dxa"/>
          </w:tcPr>
          <w:p w:rsidR="000B0349" w:rsidRDefault="00EE651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16" w:type="dxa"/>
          </w:tcPr>
          <w:p w:rsidR="000B0349" w:rsidRDefault="00EE651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616" w:type="dxa"/>
          </w:tcPr>
          <w:p w:rsidR="000B0349" w:rsidRDefault="00EE651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616" w:type="dxa"/>
          </w:tcPr>
          <w:p w:rsidR="000B0349" w:rsidRDefault="00EE651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648" w:type="dxa"/>
          </w:tcPr>
          <w:p w:rsidR="000B0349" w:rsidRDefault="00EE651A">
            <w:pPr>
              <w:pStyle w:val="ConsPlusNormal0"/>
              <w:jc w:val="center"/>
            </w:pPr>
            <w:r>
              <w:t>ФБ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162,4</w:t>
            </w:r>
          </w:p>
        </w:tc>
        <w:tc>
          <w:tcPr>
            <w:tcW w:w="964" w:type="dxa"/>
          </w:tcPr>
          <w:p w:rsidR="000B0349" w:rsidRDefault="00EE651A">
            <w:pPr>
              <w:pStyle w:val="ConsPlusNormal0"/>
              <w:jc w:val="center"/>
            </w:pPr>
            <w:r>
              <w:t>146,16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737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</w:tr>
      <w:tr w:rsidR="000B0349">
        <w:tc>
          <w:tcPr>
            <w:tcW w:w="1482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2168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2047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 w:val="restart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1648" w:type="dxa"/>
          </w:tcPr>
          <w:p w:rsidR="000B0349" w:rsidRDefault="00EE651A">
            <w:pPr>
              <w:pStyle w:val="ConsPlusNormal0"/>
              <w:jc w:val="center"/>
            </w:pPr>
            <w:r>
              <w:t>БРТ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117,6</w:t>
            </w:r>
          </w:p>
        </w:tc>
        <w:tc>
          <w:tcPr>
            <w:tcW w:w="964" w:type="dxa"/>
          </w:tcPr>
          <w:p w:rsidR="000B0349" w:rsidRDefault="00EE651A">
            <w:pPr>
              <w:pStyle w:val="ConsPlusNormal0"/>
              <w:jc w:val="center"/>
            </w:pPr>
            <w:r>
              <w:t>213,84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737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</w:tr>
      <w:tr w:rsidR="000B0349">
        <w:tc>
          <w:tcPr>
            <w:tcW w:w="1482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2168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2047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Merge/>
          </w:tcPr>
          <w:p w:rsidR="000B0349" w:rsidRDefault="000B0349">
            <w:pPr>
              <w:pStyle w:val="ConsPlusNormal0"/>
            </w:pPr>
          </w:p>
        </w:tc>
        <w:tc>
          <w:tcPr>
            <w:tcW w:w="1648" w:type="dxa"/>
          </w:tcPr>
          <w:p w:rsidR="000B0349" w:rsidRDefault="00EE651A">
            <w:pPr>
              <w:pStyle w:val="ConsPlusNormal0"/>
              <w:jc w:val="center"/>
            </w:pPr>
            <w:r>
              <w:t>ВБИ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160,0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560,0</w:t>
            </w:r>
          </w:p>
        </w:tc>
        <w:tc>
          <w:tcPr>
            <w:tcW w:w="964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  <w:tc>
          <w:tcPr>
            <w:tcW w:w="737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  <w:tr w:rsidR="000B0349">
        <w:tc>
          <w:tcPr>
            <w:tcW w:w="5697" w:type="dxa"/>
            <w:gridSpan w:val="3"/>
            <w:vAlign w:val="center"/>
          </w:tcPr>
          <w:p w:rsidR="000B0349" w:rsidRDefault="00EE651A">
            <w:pPr>
              <w:pStyle w:val="ConsPlusNormal0"/>
              <w:jc w:val="both"/>
            </w:pPr>
            <w:r>
              <w:t>Всего,</w:t>
            </w:r>
          </w:p>
          <w:p w:rsidR="000B0349" w:rsidRDefault="00EE651A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1648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240,0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964" w:type="dxa"/>
          </w:tcPr>
          <w:p w:rsidR="000B0349" w:rsidRDefault="00EE651A">
            <w:pPr>
              <w:pStyle w:val="ConsPlusNormal0"/>
              <w:jc w:val="center"/>
            </w:pPr>
            <w:r>
              <w:t>1 200,0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737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</w:tr>
      <w:tr w:rsidR="000B0349">
        <w:tc>
          <w:tcPr>
            <w:tcW w:w="5697" w:type="dxa"/>
            <w:gridSpan w:val="3"/>
            <w:vAlign w:val="center"/>
          </w:tcPr>
          <w:p w:rsidR="000B0349" w:rsidRDefault="00EE651A">
            <w:pPr>
              <w:pStyle w:val="ConsPlusNormal0"/>
              <w:jc w:val="both"/>
            </w:pPr>
            <w:r>
              <w:t>бюджет Республики Татарстан</w:t>
            </w: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1648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117,6</w:t>
            </w:r>
          </w:p>
        </w:tc>
        <w:tc>
          <w:tcPr>
            <w:tcW w:w="964" w:type="dxa"/>
          </w:tcPr>
          <w:p w:rsidR="000B0349" w:rsidRDefault="00EE651A">
            <w:pPr>
              <w:pStyle w:val="ConsPlusNormal0"/>
              <w:jc w:val="center"/>
            </w:pPr>
            <w:r>
              <w:t>213,84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737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100,8</w:t>
            </w:r>
          </w:p>
        </w:tc>
      </w:tr>
      <w:tr w:rsidR="000B0349">
        <w:tc>
          <w:tcPr>
            <w:tcW w:w="5697" w:type="dxa"/>
            <w:gridSpan w:val="3"/>
            <w:vAlign w:val="center"/>
          </w:tcPr>
          <w:p w:rsidR="000B0349" w:rsidRDefault="00EE651A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1648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162,4</w:t>
            </w:r>
          </w:p>
        </w:tc>
        <w:tc>
          <w:tcPr>
            <w:tcW w:w="964" w:type="dxa"/>
          </w:tcPr>
          <w:p w:rsidR="000B0349" w:rsidRDefault="00EE651A">
            <w:pPr>
              <w:pStyle w:val="ConsPlusNormal0"/>
              <w:jc w:val="center"/>
            </w:pPr>
            <w:r>
              <w:t>146,16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737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151,2</w:t>
            </w:r>
          </w:p>
        </w:tc>
      </w:tr>
      <w:tr w:rsidR="000B0349">
        <w:tc>
          <w:tcPr>
            <w:tcW w:w="5697" w:type="dxa"/>
            <w:gridSpan w:val="3"/>
            <w:vAlign w:val="center"/>
          </w:tcPr>
          <w:p w:rsidR="000B0349" w:rsidRDefault="00EE651A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616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1648" w:type="dxa"/>
            <w:vAlign w:val="center"/>
          </w:tcPr>
          <w:p w:rsidR="000B0349" w:rsidRDefault="000B0349">
            <w:pPr>
              <w:pStyle w:val="ConsPlusNormal0"/>
            </w:pP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160,0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560,0</w:t>
            </w:r>
          </w:p>
        </w:tc>
        <w:tc>
          <w:tcPr>
            <w:tcW w:w="964" w:type="dxa"/>
          </w:tcPr>
          <w:p w:rsidR="000B0349" w:rsidRDefault="00EE651A">
            <w:pPr>
              <w:pStyle w:val="ConsPlusNormal0"/>
              <w:jc w:val="center"/>
            </w:pPr>
            <w:r>
              <w:t>840,0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  <w:tc>
          <w:tcPr>
            <w:tcW w:w="737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  <w:tc>
          <w:tcPr>
            <w:tcW w:w="794" w:type="dxa"/>
          </w:tcPr>
          <w:p w:rsidR="000B0349" w:rsidRDefault="00EE651A">
            <w:pPr>
              <w:pStyle w:val="ConsPlusNormal0"/>
              <w:jc w:val="center"/>
            </w:pPr>
            <w:r>
              <w:t>588,0</w:t>
            </w:r>
          </w:p>
        </w:tc>
      </w:tr>
    </w:tbl>
    <w:p w:rsidR="000B0349" w:rsidRDefault="000B0349">
      <w:pPr>
        <w:pStyle w:val="ConsPlusNormal0"/>
        <w:sectPr w:rsidR="000B0349">
          <w:headerReference w:type="default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--------------------------------</w:t>
      </w:r>
    </w:p>
    <w:p w:rsidR="000B0349" w:rsidRDefault="00EE651A">
      <w:pPr>
        <w:pStyle w:val="ConsPlusNormal0"/>
        <w:spacing w:before="200"/>
        <w:ind w:firstLine="540"/>
        <w:jc w:val="both"/>
      </w:pPr>
      <w:bookmarkStart w:id="4" w:name="P560"/>
      <w:bookmarkEnd w:id="4"/>
      <w:r>
        <w:t>&lt;*&gt; Список использованных сокращений: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АГНКС - автомобильная газонаполнительная компрессорная станция;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АЗС - автомобильная заправочная станция;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БРТ - бюджет Республики Татарстан;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ВБИ - внебюджетные источники;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КПГ - компримированный природный газ;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МПиТ РТ - Министерство промышленности и торговли Республики Татарстан;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МО РТ - муниципальные образования Республики Татарстан;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Средневолжский филиал ООО "Газпром газомоторное топливо" - Средневолжский филиал общества с ограниченной ответственностью "Газпро</w:t>
      </w:r>
      <w:r>
        <w:t>м газомоторное топливо";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ПАО "Татнефть" - публичное акционерное общество "Татнефть" имени В.Д.Шашина;</w:t>
      </w:r>
    </w:p>
    <w:p w:rsidR="000B0349" w:rsidRDefault="00EE651A">
      <w:pPr>
        <w:pStyle w:val="ConsPlusNormal0"/>
        <w:spacing w:before="200"/>
        <w:ind w:firstLine="540"/>
        <w:jc w:val="both"/>
      </w:pPr>
      <w:r>
        <w:t>ФБ - федеральный бюджет.</w:t>
      </w: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right"/>
        <w:outlineLvl w:val="1"/>
      </w:pPr>
      <w:r>
        <w:t>Приложение N 2</w:t>
      </w:r>
    </w:p>
    <w:p w:rsidR="000B0349" w:rsidRDefault="00EE651A">
      <w:pPr>
        <w:pStyle w:val="ConsPlusNormal0"/>
        <w:jc w:val="right"/>
      </w:pPr>
      <w:r>
        <w:t>к государственной программе</w:t>
      </w:r>
    </w:p>
    <w:p w:rsidR="000B0349" w:rsidRDefault="00EE651A">
      <w:pPr>
        <w:pStyle w:val="ConsPlusNormal0"/>
        <w:jc w:val="right"/>
      </w:pPr>
      <w:r>
        <w:t>Республики Татарстан "Строительство</w:t>
      </w:r>
    </w:p>
    <w:p w:rsidR="000B0349" w:rsidRDefault="00EE651A">
      <w:pPr>
        <w:pStyle w:val="ConsPlusNormal0"/>
        <w:jc w:val="right"/>
      </w:pPr>
      <w:r>
        <w:t>автомобильных газонаполнительных</w:t>
      </w:r>
    </w:p>
    <w:p w:rsidR="000B0349" w:rsidRDefault="00EE651A">
      <w:pPr>
        <w:pStyle w:val="ConsPlusNormal0"/>
        <w:jc w:val="right"/>
      </w:pPr>
      <w:r>
        <w:t>компрессорны</w:t>
      </w:r>
      <w:r>
        <w:t>х станций на территории</w:t>
      </w:r>
    </w:p>
    <w:p w:rsidR="000B0349" w:rsidRDefault="00EE651A">
      <w:pPr>
        <w:pStyle w:val="ConsPlusNormal0"/>
        <w:jc w:val="right"/>
      </w:pPr>
      <w:r>
        <w:t>Республики Татарстан</w:t>
      </w:r>
    </w:p>
    <w:p w:rsidR="000B0349" w:rsidRDefault="00EE651A">
      <w:pPr>
        <w:pStyle w:val="ConsPlusNormal0"/>
        <w:jc w:val="right"/>
      </w:pPr>
      <w:r>
        <w:t>на 2019 - 2024 годы"</w:t>
      </w:r>
    </w:p>
    <w:p w:rsidR="000B0349" w:rsidRDefault="000B034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349" w:rsidRDefault="00EE651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0" w:tooltip="Постановление КМ РТ от 22.04.2022 N 385 &quot;О внесении изменений в постановление Кабинета Министров Республики Татарстан от 18.09.2018 N 789 &quot;Об утверждении государственной программы Республики Татарстан &quot;Строительство автомобильных газонаполнительных компрессор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КМ РТ от 22.04.2022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349" w:rsidRDefault="000B0349">
            <w:pPr>
              <w:pStyle w:val="ConsPlusNormal0"/>
            </w:pP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2"/>
      </w:pPr>
      <w:bookmarkStart w:id="5" w:name="P586"/>
      <w:bookmarkEnd w:id="5"/>
      <w:r>
        <w:t>Схема</w:t>
      </w:r>
    </w:p>
    <w:p w:rsidR="000B0349" w:rsidRDefault="00EE651A">
      <w:pPr>
        <w:pStyle w:val="ConsPlusTitle0"/>
        <w:jc w:val="center"/>
      </w:pPr>
      <w:r>
        <w:t>территориального раз</w:t>
      </w:r>
      <w:r>
        <w:t>мещения существующих и перспективных</w:t>
      </w:r>
    </w:p>
    <w:p w:rsidR="000B0349" w:rsidRDefault="00EE651A">
      <w:pPr>
        <w:pStyle w:val="ConsPlusTitle0"/>
        <w:jc w:val="center"/>
      </w:pPr>
      <w:r>
        <w:t>объектов заправочной инфраструктуры компримированного</w:t>
      </w:r>
    </w:p>
    <w:p w:rsidR="000B0349" w:rsidRDefault="00EE651A">
      <w:pPr>
        <w:pStyle w:val="ConsPlusTitle0"/>
        <w:jc w:val="center"/>
      </w:pPr>
      <w:r>
        <w:t xml:space="preserve">природного газа на территории Республики Татарстан </w:t>
      </w:r>
      <w:hyperlink w:anchor="P661" w:tooltip="&lt;*&gt; Схема актуализируется не реже чем один раз в год.">
        <w:r>
          <w:rPr>
            <w:color w:val="0000FF"/>
          </w:rPr>
          <w:t>&lt;*&gt;</w:t>
        </w:r>
      </w:hyperlink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center"/>
      </w:pPr>
      <w:r>
        <w:rPr>
          <w:noProof/>
          <w:position w:val="-228"/>
        </w:rPr>
        <w:lastRenderedPageBreak/>
        <w:drawing>
          <wp:inline distT="0" distB="0" distL="0" distR="0">
            <wp:extent cx="4681855" cy="30302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49" w:rsidRDefault="000B034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3"/>
        <w:gridCol w:w="7200"/>
      </w:tblGrid>
      <w:tr w:rsidR="000B0349">
        <w:tc>
          <w:tcPr>
            <w:tcW w:w="8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>Действующие АГНКС (37 единиц):</w:t>
            </w:r>
          </w:p>
        </w:tc>
      </w:tr>
      <w:tr w:rsidR="000B0349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82880" cy="4102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  <w:ind w:left="42"/>
            </w:pPr>
            <w:r>
              <w:t>Казань - 6 единиц</w:t>
            </w:r>
          </w:p>
          <w:p w:rsidR="000B0349" w:rsidRDefault="00EE651A">
            <w:pPr>
              <w:pStyle w:val="ConsPlusNormal0"/>
              <w:ind w:left="42"/>
            </w:pPr>
            <w:r>
              <w:t>Набережные Челны - 4 единицы</w:t>
            </w:r>
          </w:p>
          <w:p w:rsidR="000B0349" w:rsidRDefault="00EE651A">
            <w:pPr>
              <w:pStyle w:val="ConsPlusNormal0"/>
              <w:ind w:left="42"/>
            </w:pPr>
            <w:r>
              <w:t>Нижнекамск - 3 единицы</w:t>
            </w:r>
          </w:p>
          <w:p w:rsidR="000B0349" w:rsidRDefault="00EE651A">
            <w:pPr>
              <w:pStyle w:val="ConsPlusNormal0"/>
              <w:ind w:left="42"/>
            </w:pPr>
            <w:r>
              <w:t>Зеленодольский район - 3 единицы</w:t>
            </w:r>
          </w:p>
          <w:p w:rsidR="000B0349" w:rsidRDefault="00EE651A">
            <w:pPr>
              <w:pStyle w:val="ConsPlusNormal0"/>
              <w:ind w:left="42"/>
            </w:pPr>
            <w:r>
              <w:t>Альметьевск - 2 единицы</w:t>
            </w:r>
          </w:p>
          <w:p w:rsidR="000B0349" w:rsidRDefault="00EE651A">
            <w:pPr>
              <w:pStyle w:val="ConsPlusNormal0"/>
              <w:ind w:left="42"/>
            </w:pPr>
            <w:r>
              <w:t>Бугульма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Мамадышский район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Буинск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Елабуга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Азнак</w:t>
            </w:r>
            <w:r>
              <w:t>аево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Алексеевское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Лениногорск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Заинск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Нурлат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Актанышский район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Мензелинский район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Шемордан (компрессорная станция Арская)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Апастовский район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Алькеевский район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Лаишевский район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Пестречинский район - 2 единицы</w:t>
            </w:r>
          </w:p>
          <w:p w:rsidR="000B0349" w:rsidRDefault="00EE651A">
            <w:pPr>
              <w:pStyle w:val="ConsPlusNormal0"/>
              <w:ind w:left="42"/>
            </w:pPr>
            <w:r>
              <w:t>Тукаевский район - 1 единица</w:t>
            </w:r>
          </w:p>
          <w:p w:rsidR="000B0349" w:rsidRDefault="00EE651A">
            <w:pPr>
              <w:pStyle w:val="ConsPlusNormal0"/>
              <w:ind w:left="42"/>
            </w:pPr>
            <w:r>
              <w:t>Менделеевский район - 1 единица</w:t>
            </w:r>
          </w:p>
        </w:tc>
      </w:tr>
      <w:tr w:rsidR="000B0349">
        <w:tc>
          <w:tcPr>
            <w:tcW w:w="8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>Развитие инфраструктуры в 2022 - 2024 годах Новое строительство АГНКС (16 единиц):</w:t>
            </w:r>
          </w:p>
        </w:tc>
      </w:tr>
      <w:tr w:rsidR="000B0349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182880" cy="5549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>Набережные Челны - 2 единицы</w:t>
            </w:r>
          </w:p>
          <w:p w:rsidR="000B0349" w:rsidRDefault="00EE651A">
            <w:pPr>
              <w:pStyle w:val="ConsPlusNormal0"/>
            </w:pPr>
            <w:r>
              <w:t>Нижнекамск - 1 единица</w:t>
            </w:r>
          </w:p>
          <w:p w:rsidR="000B0349" w:rsidRDefault="00EE651A">
            <w:pPr>
              <w:pStyle w:val="ConsPlusNormal0"/>
            </w:pPr>
            <w:r>
              <w:t>Арский район - 1 единица</w:t>
            </w:r>
          </w:p>
          <w:p w:rsidR="000B0349" w:rsidRDefault="00EE651A">
            <w:pPr>
              <w:pStyle w:val="ConsPlusNormal0"/>
            </w:pPr>
            <w:r>
              <w:t>Бавлинский район - 1 единица</w:t>
            </w:r>
          </w:p>
          <w:p w:rsidR="000B0349" w:rsidRDefault="00EE651A">
            <w:pPr>
              <w:pStyle w:val="ConsPlusNormal0"/>
            </w:pPr>
            <w:r>
              <w:t>Высокогорский район - 2 единицы</w:t>
            </w:r>
          </w:p>
          <w:p w:rsidR="000B0349" w:rsidRDefault="00EE651A">
            <w:pPr>
              <w:pStyle w:val="ConsPlusNormal0"/>
            </w:pPr>
            <w:r>
              <w:t>Елабужский район - 2 единицы</w:t>
            </w:r>
          </w:p>
          <w:p w:rsidR="000B0349" w:rsidRDefault="00EE651A">
            <w:pPr>
              <w:pStyle w:val="ConsPlusNormal0"/>
            </w:pPr>
            <w:r>
              <w:t>Зеленодольский район - 2 единицы</w:t>
            </w:r>
          </w:p>
          <w:p w:rsidR="000B0349" w:rsidRDefault="00EE651A">
            <w:pPr>
              <w:pStyle w:val="ConsPlusNormal0"/>
            </w:pPr>
            <w:r>
              <w:t>Лаишевский район - 2 единицы</w:t>
            </w:r>
          </w:p>
          <w:p w:rsidR="000B0349" w:rsidRDefault="00EE651A">
            <w:pPr>
              <w:pStyle w:val="ConsPlusNormal0"/>
            </w:pPr>
            <w:r>
              <w:t>Мензелинский район - 1 един</w:t>
            </w:r>
            <w:r>
              <w:t>ица</w:t>
            </w:r>
          </w:p>
          <w:p w:rsidR="000B0349" w:rsidRDefault="00EE651A">
            <w:pPr>
              <w:pStyle w:val="ConsPlusNormal0"/>
            </w:pPr>
            <w:r>
              <w:lastRenderedPageBreak/>
              <w:t>Пестречинский район - 1 единица</w:t>
            </w:r>
          </w:p>
          <w:p w:rsidR="000B0349" w:rsidRDefault="00EE651A">
            <w:pPr>
              <w:pStyle w:val="ConsPlusNormal0"/>
            </w:pPr>
            <w:r>
              <w:t>Сабинский район - 1 единица</w:t>
            </w:r>
          </w:p>
        </w:tc>
      </w:tr>
      <w:tr w:rsidR="000B0349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rPr>
                <w:noProof/>
                <w:position w:val="-32"/>
              </w:rPr>
              <w:lastRenderedPageBreak/>
              <w:drawing>
                <wp:inline distT="0" distB="0" distL="0" distR="0">
                  <wp:extent cx="182880" cy="54229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  <w:ind w:left="41"/>
              <w:jc w:val="both"/>
            </w:pPr>
            <w:r>
              <w:t xml:space="preserve">Земельные участки, выделенные в соответствии с </w:t>
            </w:r>
            <w:hyperlink r:id="rId45" w:tooltip="Распоряжение Президента РТ от 17.04.2017 N 234 &quot;О предоставлении земельных участков для реализации масштабного инвестиционного проекта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Президента Республики Татарстан от 17.04.2017 234 и неиспользуемые в настоящее время</w:t>
            </w: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Title0"/>
        <w:jc w:val="center"/>
        <w:outlineLvl w:val="2"/>
      </w:pPr>
      <w:r>
        <w:t>Схема</w:t>
      </w:r>
    </w:p>
    <w:p w:rsidR="000B0349" w:rsidRDefault="00EE651A">
      <w:pPr>
        <w:pStyle w:val="ConsPlusTitle0"/>
        <w:jc w:val="center"/>
      </w:pPr>
      <w:r>
        <w:t>территориального размещения существующих и перспективных</w:t>
      </w:r>
    </w:p>
    <w:p w:rsidR="000B0349" w:rsidRDefault="00EE651A">
      <w:pPr>
        <w:pStyle w:val="ConsPlusTitle0"/>
        <w:jc w:val="center"/>
      </w:pPr>
      <w:r>
        <w:t>объектов заправочной инфраструктуры сжиженного природного</w:t>
      </w:r>
    </w:p>
    <w:p w:rsidR="000B0349" w:rsidRDefault="00EE651A">
      <w:pPr>
        <w:pStyle w:val="ConsPlusTitle0"/>
        <w:jc w:val="center"/>
      </w:pPr>
      <w:r>
        <w:t xml:space="preserve">газа на территории Республики Татарстан </w:t>
      </w:r>
      <w:hyperlink w:anchor="P661" w:tooltip="&lt;*&gt; Схема актуализируется не реже чем один раз в год.">
        <w:r>
          <w:rPr>
            <w:color w:val="0000FF"/>
          </w:rPr>
          <w:t>&lt;*&gt;</w:t>
        </w:r>
      </w:hyperlink>
    </w:p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jc w:val="center"/>
      </w:pPr>
      <w:r>
        <w:rPr>
          <w:noProof/>
          <w:position w:val="-263"/>
        </w:rPr>
        <w:drawing>
          <wp:inline distT="0" distB="0" distL="0" distR="0">
            <wp:extent cx="4681855" cy="346900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49" w:rsidRDefault="000B034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200"/>
      </w:tblGrid>
      <w:tr w:rsidR="000B0349"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 xml:space="preserve">Действующие КриоАЗС (2 единицы) </w:t>
            </w:r>
            <w:hyperlink w:anchor="P662" w:tooltip="&lt;**&gt; По состоянию на 31 декабря 2021 года.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0B034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82880" cy="41021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>Набережные Челны - 1 единица</w:t>
            </w:r>
          </w:p>
          <w:p w:rsidR="000B0349" w:rsidRDefault="00EE651A">
            <w:pPr>
              <w:pStyle w:val="ConsPlusNormal0"/>
            </w:pPr>
            <w:r>
              <w:t>Верхнеуслонский рай</w:t>
            </w:r>
            <w:r>
              <w:t>он - 1 единица</w:t>
            </w:r>
          </w:p>
        </w:tc>
      </w:tr>
      <w:tr w:rsidR="000B0349"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>Развитие инфраструктуры в 2022 - 2023 годах</w:t>
            </w:r>
          </w:p>
          <w:p w:rsidR="000B0349" w:rsidRDefault="00EE651A">
            <w:pPr>
              <w:pStyle w:val="ConsPlusNormal0"/>
            </w:pPr>
            <w:r>
              <w:t>Новое строительство КриоАЗС и КриоПАГЗ (8 единиц):</w:t>
            </w:r>
          </w:p>
        </w:tc>
      </w:tr>
      <w:tr w:rsidR="000B034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182880" cy="55499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>Бавлинский район - 1 единица</w:t>
            </w:r>
          </w:p>
          <w:p w:rsidR="000B0349" w:rsidRDefault="00EE651A">
            <w:pPr>
              <w:pStyle w:val="ConsPlusNormal0"/>
            </w:pPr>
            <w:r>
              <w:t>Рыбно-Слободский район - 2 единицы</w:t>
            </w:r>
          </w:p>
          <w:p w:rsidR="000B0349" w:rsidRDefault="00EE651A">
            <w:pPr>
              <w:pStyle w:val="ConsPlusNormal0"/>
            </w:pPr>
            <w:r>
              <w:t>Зеленодольский район - 1 единица</w:t>
            </w:r>
          </w:p>
          <w:p w:rsidR="000B0349" w:rsidRDefault="00EE651A">
            <w:pPr>
              <w:pStyle w:val="ConsPlusNormal0"/>
            </w:pPr>
            <w:r>
              <w:t>Лаишевский район - 1 единица</w:t>
            </w:r>
          </w:p>
          <w:p w:rsidR="000B0349" w:rsidRDefault="00EE651A">
            <w:pPr>
              <w:pStyle w:val="ConsPlusNormal0"/>
            </w:pPr>
            <w:r>
              <w:t>Пестречинский район - 2 единицы</w:t>
            </w:r>
          </w:p>
          <w:p w:rsidR="000B0349" w:rsidRDefault="00EE651A">
            <w:pPr>
              <w:pStyle w:val="ConsPlusNormal0"/>
            </w:pPr>
            <w:r>
              <w:t>Набережные Челны - 1 единица</w:t>
            </w:r>
          </w:p>
        </w:tc>
      </w:tr>
      <w:tr w:rsidR="000B0349"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</w:pPr>
            <w:r>
              <w:t>Строительство заводов по производству СПГ (3 единицы):</w:t>
            </w:r>
          </w:p>
        </w:tc>
      </w:tr>
      <w:tr w:rsidR="000B034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349" w:rsidRDefault="00EE651A">
            <w:pPr>
              <w:pStyle w:val="ConsPlusNormal0"/>
              <w:jc w:val="center"/>
            </w:pPr>
            <w:r>
              <w:rPr>
                <w:noProof/>
                <w:position w:val="-32"/>
              </w:rPr>
              <w:lastRenderedPageBreak/>
              <w:drawing>
                <wp:inline distT="0" distB="0" distL="0" distR="0">
                  <wp:extent cx="182880" cy="54229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0349" w:rsidRDefault="00EE651A">
            <w:pPr>
              <w:pStyle w:val="ConsPlusNormal0"/>
              <w:ind w:left="540"/>
              <w:jc w:val="both"/>
            </w:pPr>
            <w:r>
              <w:t>Высокогорский район - 1 единица</w:t>
            </w:r>
          </w:p>
          <w:p w:rsidR="000B0349" w:rsidRDefault="00EE651A">
            <w:pPr>
              <w:pStyle w:val="ConsPlusNormal0"/>
              <w:ind w:left="540"/>
              <w:jc w:val="both"/>
            </w:pPr>
            <w:r>
              <w:t>Елабужский район - 1 единица</w:t>
            </w:r>
          </w:p>
          <w:p w:rsidR="000B0349" w:rsidRDefault="00EE651A">
            <w:pPr>
              <w:pStyle w:val="ConsPlusNormal0"/>
              <w:ind w:left="540"/>
              <w:jc w:val="both"/>
            </w:pPr>
            <w:r>
              <w:t>Тюлячинский район - 1 единица</w:t>
            </w:r>
          </w:p>
        </w:tc>
      </w:tr>
    </w:tbl>
    <w:p w:rsidR="000B0349" w:rsidRDefault="000B0349">
      <w:pPr>
        <w:pStyle w:val="ConsPlusNormal0"/>
        <w:jc w:val="both"/>
      </w:pPr>
    </w:p>
    <w:p w:rsidR="000B0349" w:rsidRDefault="00EE651A">
      <w:pPr>
        <w:pStyle w:val="ConsPlusNormal0"/>
        <w:ind w:firstLine="540"/>
        <w:jc w:val="both"/>
      </w:pPr>
      <w:r>
        <w:t>--------------------------------</w:t>
      </w:r>
    </w:p>
    <w:p w:rsidR="000B0349" w:rsidRDefault="00EE651A">
      <w:pPr>
        <w:pStyle w:val="ConsPlusNormal0"/>
        <w:spacing w:before="200"/>
        <w:jc w:val="both"/>
      </w:pPr>
      <w:bookmarkStart w:id="6" w:name="P661"/>
      <w:bookmarkEnd w:id="6"/>
      <w:r>
        <w:t>&lt;*&gt; Схема актуализируется не реже чем один раз в год.</w:t>
      </w:r>
    </w:p>
    <w:p w:rsidR="000B0349" w:rsidRDefault="00EE651A">
      <w:pPr>
        <w:pStyle w:val="ConsPlusNormal0"/>
        <w:spacing w:before="200"/>
        <w:jc w:val="both"/>
      </w:pPr>
      <w:bookmarkStart w:id="7" w:name="P662"/>
      <w:bookmarkEnd w:id="7"/>
      <w:r>
        <w:t>&lt;**&gt; По состоянию на 31 декабря 2021 года.</w:t>
      </w: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jc w:val="both"/>
      </w:pPr>
    </w:p>
    <w:p w:rsidR="000B0349" w:rsidRDefault="000B034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8" w:name="_GoBack"/>
      <w:bookmarkEnd w:id="8"/>
    </w:p>
    <w:sectPr w:rsidR="000B0349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1A" w:rsidRDefault="00EE651A">
      <w:r>
        <w:separator/>
      </w:r>
    </w:p>
  </w:endnote>
  <w:endnote w:type="continuationSeparator" w:id="0">
    <w:p w:rsidR="00EE651A" w:rsidRDefault="00E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034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0349" w:rsidRDefault="00EE651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0349" w:rsidRDefault="00EE651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0349" w:rsidRDefault="00EE65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0B0349" w:rsidRDefault="00EE651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034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0349" w:rsidRDefault="00EE651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0349" w:rsidRDefault="00EE651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0349" w:rsidRDefault="00EE65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0B0349" w:rsidRDefault="00EE651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B034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B0349" w:rsidRDefault="00EE651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0349" w:rsidRDefault="00EE651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0349" w:rsidRDefault="00EE65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B0349" w:rsidRDefault="00EE651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B034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B0349" w:rsidRDefault="00EE651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0349" w:rsidRDefault="00EE651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0349" w:rsidRDefault="00EE65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0B0349" w:rsidRDefault="00EE651A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034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0349" w:rsidRDefault="00EE651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0349" w:rsidRDefault="00EE651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0349" w:rsidRDefault="00EE65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0B0349" w:rsidRDefault="00EE651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034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0349" w:rsidRDefault="00EE651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0349" w:rsidRDefault="00EE651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0349" w:rsidRDefault="00EE651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53D0D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0B0349" w:rsidRDefault="00EE651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1A" w:rsidRDefault="00EE651A">
      <w:r>
        <w:separator/>
      </w:r>
    </w:p>
  </w:footnote>
  <w:footnote w:type="continuationSeparator" w:id="0">
    <w:p w:rsidR="00EE651A" w:rsidRDefault="00EE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B0349" w:rsidRDefault="000B034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0B034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B0349" w:rsidRDefault="00EE651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КМ РТ от 18.09.2018 N 789</w:t>
          </w:r>
          <w:r>
            <w:rPr>
              <w:rFonts w:ascii="Tahoma" w:hAnsi="Tahoma" w:cs="Tahoma"/>
              <w:sz w:val="16"/>
              <w:szCs w:val="16"/>
            </w:rPr>
            <w:br/>
            <w:t>(ред. от 22.04.2022)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Республики Татарс...</w:t>
          </w:r>
        </w:p>
      </w:tc>
      <w:tc>
        <w:tcPr>
          <w:tcW w:w="2300" w:type="pct"/>
          <w:vAlign w:val="center"/>
        </w:tcPr>
        <w:p w:rsidR="000B0349" w:rsidRDefault="00EE651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05.07.2022</w:t>
          </w:r>
        </w:p>
      </w:tc>
    </w:tr>
  </w:tbl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B0349" w:rsidRDefault="000B0349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B034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B0349" w:rsidRDefault="000B034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0B0349" w:rsidRDefault="000B034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B0349" w:rsidRDefault="000B034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B0349" w:rsidRDefault="000B0349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Pr="00653D0D" w:rsidRDefault="000B0349" w:rsidP="00653D0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9" w:rsidRPr="00653D0D" w:rsidRDefault="000B0349" w:rsidP="00653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349"/>
    <w:rsid w:val="000B0349"/>
    <w:rsid w:val="00653D0D"/>
    <w:rsid w:val="00E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1ECC8"/>
  <w15:docId w15:val="{69CF448D-E772-4EF5-832A-212BB8B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53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D0D"/>
  </w:style>
  <w:style w:type="paragraph" w:styleId="a5">
    <w:name w:val="footer"/>
    <w:basedOn w:val="a"/>
    <w:link w:val="a6"/>
    <w:uiPriority w:val="99"/>
    <w:unhideWhenUsed/>
    <w:rsid w:val="00653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B7326D1E1890A57710A450A0F46267676D54BED0EA6304CFBE9B578FCC93400328B3DAC14D80B34E262DDF1AB4CB5E5E93DACFF457CFC76F69B9C8VFj8M" TargetMode="External"/><Relationship Id="rId18" Type="http://schemas.openxmlformats.org/officeDocument/2006/relationships/hyperlink" Target="consultantplus://offline/ref=6EB7326D1E1890A57710BA5DB6983F6C67650FBAD5EF6C5A97EF9D00D09C95155168ED83820C93B249382FD818VBjDM" TargetMode="External"/><Relationship Id="rId26" Type="http://schemas.openxmlformats.org/officeDocument/2006/relationships/hyperlink" Target="consultantplus://offline/ref=6EB7326D1E1890A57710BA5DB6983F6C606708BBD1EA6C5A97EF9D00D09C95154368B58F830E8DB04D2D79895EEA920F1FD8D7C8EF4BCFC2V7j3M" TargetMode="External"/><Relationship Id="rId39" Type="http://schemas.openxmlformats.org/officeDocument/2006/relationships/footer" Target="footer4.xml"/><Relationship Id="rId21" Type="http://schemas.openxmlformats.org/officeDocument/2006/relationships/hyperlink" Target="consultantplus://offline/ref=6EB7326D1E1890A57710BA5DB6983F6C676E0AB2D2E56C5A97EF9D00D09C95155168ED83820C93B249382FD818VBjDM" TargetMode="External"/><Relationship Id="rId34" Type="http://schemas.openxmlformats.org/officeDocument/2006/relationships/header" Target="header1.xml"/><Relationship Id="rId42" Type="http://schemas.openxmlformats.org/officeDocument/2006/relationships/image" Target="media/image2.png"/><Relationship Id="rId47" Type="http://schemas.openxmlformats.org/officeDocument/2006/relationships/header" Target="header4.xml"/><Relationship Id="rId50" Type="http://schemas.openxmlformats.org/officeDocument/2006/relationships/footer" Target="footer6.xml"/><Relationship Id="rId7" Type="http://schemas.openxmlformats.org/officeDocument/2006/relationships/hyperlink" Target="consultantplus://offline/ref=6EB7326D1E1890A57710A450A0F46267676D54BED0EA6304CFBE9B578FCC93400328B3DAC14D80B34E262DD81FB4CB5E5E93DACFF457CFC76F69B9C8VFj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B7326D1E1890A57710A450A0F46267676D54BED0E9600CCABC9B578FCC93400328B3DAC14D80B34E212FD91CB4CB5E5E93DACFF457CFC76F69B9C8VFj8M" TargetMode="External"/><Relationship Id="rId29" Type="http://schemas.openxmlformats.org/officeDocument/2006/relationships/hyperlink" Target="consultantplus://offline/ref=6EB7326D1E1890A57710A450A0F46267676D54BED0EA6304CFBE9B578FCC93400328B3DAC14D80B34E262FD91AB4CB5E5E93DACFF457CFC76F69B9C8VFj8M" TargetMode="External"/><Relationship Id="rId11" Type="http://schemas.openxmlformats.org/officeDocument/2006/relationships/hyperlink" Target="consultantplus://offline/ref=6EB7326D1E1890A57710A450A0F46267676D54BED0EA6304CFBE9B578FCC93400328B3DAC14D80B34E262DD812B4CB5E5E93DACFF457CFC76F69B9C8VFj8M" TargetMode="External"/><Relationship Id="rId24" Type="http://schemas.openxmlformats.org/officeDocument/2006/relationships/hyperlink" Target="consultantplus://offline/ref=6EB7326D1E1890A57710A450A0F46267676D54BED0E9600CCABC9B578FCC93400328B3DAD34DD8BF4E2333D81DA19D0F18VCj4M" TargetMode="External"/><Relationship Id="rId32" Type="http://schemas.openxmlformats.org/officeDocument/2006/relationships/hyperlink" Target="consultantplus://offline/ref=6EB7326D1E1890A57710A450A0F46267676D54BED0EA6304CFBE9B578FCC93400328B3DAC14D80B34E262FDF1EB4CB5E5E93DACFF457CFC76F69B9C8VFj8M" TargetMode="External"/><Relationship Id="rId37" Type="http://schemas.openxmlformats.org/officeDocument/2006/relationships/footer" Target="footer3.xml"/><Relationship Id="rId40" Type="http://schemas.openxmlformats.org/officeDocument/2006/relationships/hyperlink" Target="consultantplus://offline/ref=6EB7326D1E1890A57710A450A0F46267676D54BED0EA6304CFBE9B578FCC93400328B3DAC14D80B34E262FDF1FB4CB5E5E93DACFF457CFC76F69B9C8VFj8M" TargetMode="External"/><Relationship Id="rId45" Type="http://schemas.openxmlformats.org/officeDocument/2006/relationships/hyperlink" Target="consultantplus://offline/ref=6EB7326D1E1890A57710A459B9F36267676D54BED5EA6708C8B0C65D87959F420427ECDFC65C80B24B382DDF04BD9F0DV1j8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B7326D1E1890A57710A450A0F46267676D54BED0E8660AC3BE9B578FCC93400328B3DAC14D80B34E262DD918B4CB5E5E93DACFF457CFC76F69B9C8VFj8M" TargetMode="External"/><Relationship Id="rId23" Type="http://schemas.openxmlformats.org/officeDocument/2006/relationships/hyperlink" Target="consultantplus://offline/ref=6EB7326D1E1890A57710A450A0F46267676D54BED0E8660AC3BE9B578FCC93400328B3DAD34DD8BF4E2333D81DA19D0F18VCj4M" TargetMode="External"/><Relationship Id="rId28" Type="http://schemas.openxmlformats.org/officeDocument/2006/relationships/hyperlink" Target="consultantplus://offline/ref=6EB7326D1E1890A57710A450A0F46267676D54BED0EA6304CFBE9B578FCC93400328B3DAC14D80B34E262CDF19B4CB5E5E93DACFF457CFC76F69B9C8VFj8M" TargetMode="External"/><Relationship Id="rId36" Type="http://schemas.openxmlformats.org/officeDocument/2006/relationships/header" Target="header2.xml"/><Relationship Id="rId49" Type="http://schemas.openxmlformats.org/officeDocument/2006/relationships/header" Target="header5.xml"/><Relationship Id="rId10" Type="http://schemas.openxmlformats.org/officeDocument/2006/relationships/hyperlink" Target="consultantplus://offline/ref=6EB7326D1E1890A57710A450A0F46267676D54BED0E9670AC9BF9B578FCC93400328B3DAC14D80B34E262DD812B4CB5E5E93DACFF457CFC76F69B9C8VFj8M" TargetMode="External"/><Relationship Id="rId19" Type="http://schemas.openxmlformats.org/officeDocument/2006/relationships/hyperlink" Target="consultantplus://offline/ref=6EB7326D1E1890A57710BA5DB6983F6C67610DB6D7E56C5A97EF9D00D09C95155168ED83820C93B249382FD818VBjDM" TargetMode="External"/><Relationship Id="rId31" Type="http://schemas.openxmlformats.org/officeDocument/2006/relationships/hyperlink" Target="consultantplus://offline/ref=6EB7326D1E1890A57710A450A0F46267676D54BED0EA6304CFBE9B578FCC93400328B3DAC14D80B34E262FDD1DB4CB5E5E93DACFF457CFC76F69B9C8VFj8M" TargetMode="External"/><Relationship Id="rId44" Type="http://schemas.openxmlformats.org/officeDocument/2006/relationships/image" Target="media/image4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B7326D1E1890A57710A450A0F46267676D54BED0EA6304CFBE9B578FCC93400328B3DAC14D80B34E262DD81DB4CB5E5E93DACFF457CFC76F69B9C8VFj8M" TargetMode="External"/><Relationship Id="rId14" Type="http://schemas.openxmlformats.org/officeDocument/2006/relationships/hyperlink" Target="consultantplus://offline/ref=6EB7326D1E1890A57710BA5DB6983F6C606708BBD1EA6C5A97EF9D00D09C95154368B58C8B0A85B645727C9C4FB29F0A04C6D0D1F349CDVCj2M" TargetMode="External"/><Relationship Id="rId22" Type="http://schemas.openxmlformats.org/officeDocument/2006/relationships/hyperlink" Target="consultantplus://offline/ref=6EB7326D1E1890A57710A459B9F36267676D54BED5EA6708C8B0C65D87959F420427ECDFC65C80B24B382DDF04BD9F0DV1j8M" TargetMode="External"/><Relationship Id="rId27" Type="http://schemas.openxmlformats.org/officeDocument/2006/relationships/hyperlink" Target="consultantplus://offline/ref=6EB7326D1E1890A57710A450A0F46267676D54BED0E9600CCABC9B578FCC93400328B3DAC14D80B34E212FD91CB4CB5E5E93DACFF457CFC76F69B9C8VFj8M" TargetMode="External"/><Relationship Id="rId30" Type="http://schemas.openxmlformats.org/officeDocument/2006/relationships/hyperlink" Target="consultantplus://offline/ref=6EB7326D1E1890A57710A450A0F46267676D54BED0E8660AC3BE9B578FCC93400328B3DAC14D80B34E262DD918B4CB5E5E93DACFF457CFC76F69B9C8VFj8M" TargetMode="External"/><Relationship Id="rId35" Type="http://schemas.openxmlformats.org/officeDocument/2006/relationships/footer" Target="footer2.xml"/><Relationship Id="rId43" Type="http://schemas.openxmlformats.org/officeDocument/2006/relationships/image" Target="media/image3.png"/><Relationship Id="rId48" Type="http://schemas.openxmlformats.org/officeDocument/2006/relationships/footer" Target="footer5.xml"/><Relationship Id="rId8" Type="http://schemas.openxmlformats.org/officeDocument/2006/relationships/hyperlink" Target="consultantplus://offline/ref=6EB7326D1E1890A57710A450A0F46267676D54BED0E9670AC9BF9B578FCC93400328B3DAC14D80B34E262DD81DB4CB5E5E93DACFF457CFC76F69B9C8VFj8M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B7326D1E1890A57710A450A0F46267676D54BED0EA6304CFBE9B578FCC93400328B3DAC14D80B34E262DD91AB4CB5E5E93DACFF457CFC76F69B9C8VFj8M" TargetMode="External"/><Relationship Id="rId17" Type="http://schemas.openxmlformats.org/officeDocument/2006/relationships/hyperlink" Target="consultantplus://offline/ref=6EB7326D1E1890A57710BA5DB6983F6C606708BBD1EA6C5A97EF9D00D09C95155168ED83820C93B249382FD818VBjDM" TargetMode="External"/><Relationship Id="rId25" Type="http://schemas.openxmlformats.org/officeDocument/2006/relationships/hyperlink" Target="consultantplus://offline/ref=6EB7326D1E1890A57710A450A0F46267676D54BED0EA670FC2BE9B578FCC93400328B3DAD34DD8BF4E2333D81DA19D0F18VCj4M" TargetMode="External"/><Relationship Id="rId33" Type="http://schemas.openxmlformats.org/officeDocument/2006/relationships/footer" Target="footer1.xml"/><Relationship Id="rId38" Type="http://schemas.openxmlformats.org/officeDocument/2006/relationships/header" Target="header3.xml"/><Relationship Id="rId46" Type="http://schemas.openxmlformats.org/officeDocument/2006/relationships/image" Target="media/image5.png"/><Relationship Id="rId20" Type="http://schemas.openxmlformats.org/officeDocument/2006/relationships/hyperlink" Target="consultantplus://offline/ref=6EB7326D1E1890A57710BA5DB6983F6C67610DB1D9EA6C5A97EF9D00D09C95155168ED83820C93B249382FD818VBjDM" TargetMode="External"/><Relationship Id="rId41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6EB7326D1E1890A57710A450A0F46267676D54BED0E9670AC9BF9B578FCC93400328B3DAC14D80B34E262DD81FB4CB5E5E93DACFF457CFC76F69B9C8VFj8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7085</Words>
  <Characters>40388</Characters>
  <Application>Microsoft Office Word</Application>
  <DocSecurity>0</DocSecurity>
  <Lines>336</Lines>
  <Paragraphs>94</Paragraphs>
  <ScaleCrop>false</ScaleCrop>
  <Company>КонсультантПлюс Версия 4022.00.15</Company>
  <LinksUpToDate>false</LinksUpToDate>
  <CharactersWithSpaces>47379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18.09.2018 N 789
(ред. от 22.04.2022)
"Об утверждении государственной программы Республики Татарстан "Строительство автомобильных газонаполнительных компрессорных станций на территории Республики Татарстан на 2019 - 2024 годы"</dc:title>
  <cp:lastModifiedBy>Газизуллина Лилия Салимовна</cp:lastModifiedBy>
  <cp:revision>2</cp:revision>
  <dcterms:created xsi:type="dcterms:W3CDTF">2022-07-05T12:35:00Z</dcterms:created>
  <dcterms:modified xsi:type="dcterms:W3CDTF">2022-07-05T12:39:00Z</dcterms:modified>
</cp:coreProperties>
</file>